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1CCEE" w14:textId="77777777" w:rsidR="008E32B2" w:rsidRDefault="008E32B2">
      <w:pPr>
        <w:pStyle w:val="Standard"/>
        <w:jc w:val="both"/>
        <w:rPr>
          <w:rFonts w:ascii="Arial" w:hAnsi="Arial" w:cs="Arial"/>
          <w:b/>
          <w:bCs/>
          <w:color w:val="000000"/>
        </w:rPr>
      </w:pPr>
    </w:p>
    <w:tbl>
      <w:tblPr>
        <w:tblW w:w="9255" w:type="dxa"/>
        <w:tblInd w:w="-70" w:type="dxa"/>
        <w:tblLayout w:type="fixed"/>
        <w:tblCellMar>
          <w:left w:w="10" w:type="dxa"/>
          <w:right w:w="10" w:type="dxa"/>
        </w:tblCellMar>
        <w:tblLook w:val="0000" w:firstRow="0" w:lastRow="0" w:firstColumn="0" w:lastColumn="0" w:noHBand="0" w:noVBand="0"/>
      </w:tblPr>
      <w:tblGrid>
        <w:gridCol w:w="9255"/>
      </w:tblGrid>
      <w:tr w:rsidR="008E32B2" w14:paraId="7CAC4F19" w14:textId="77777777">
        <w:trPr>
          <w:trHeight w:val="1019"/>
        </w:trPr>
        <w:tc>
          <w:tcPr>
            <w:tcW w:w="9255" w:type="dxa"/>
            <w:tcBorders>
              <w:top w:val="single" w:sz="8" w:space="0" w:color="00000A"/>
              <w:left w:val="single" w:sz="8" w:space="0" w:color="00000A"/>
              <w:bottom w:val="single" w:sz="8" w:space="0" w:color="00000A"/>
              <w:right w:val="single" w:sz="8" w:space="0" w:color="00000A"/>
            </w:tcBorders>
            <w:shd w:val="clear" w:color="auto" w:fill="FBE4D5"/>
            <w:tcMar>
              <w:top w:w="0" w:type="dxa"/>
              <w:left w:w="70" w:type="dxa"/>
              <w:bottom w:w="0" w:type="dxa"/>
              <w:right w:w="70" w:type="dxa"/>
            </w:tcMar>
            <w:vAlign w:val="center"/>
          </w:tcPr>
          <w:p w14:paraId="2A8C58DE" w14:textId="653A0268" w:rsidR="008E32B2" w:rsidRDefault="00F16B9D">
            <w:pPr>
              <w:pStyle w:val="Standard"/>
              <w:spacing w:before="60" w:after="60"/>
              <w:jc w:val="center"/>
              <w:rPr>
                <w:rFonts w:ascii="Arial" w:hAnsi="Arial" w:cs="Arial"/>
                <w:b/>
                <w:bCs/>
                <w:color w:val="000000"/>
                <w:sz w:val="40"/>
                <w:szCs w:val="40"/>
              </w:rPr>
            </w:pPr>
            <w:r>
              <w:rPr>
                <w:rFonts w:ascii="Arial" w:hAnsi="Arial" w:cs="Arial"/>
                <w:b/>
                <w:bCs/>
                <w:color w:val="000000"/>
                <w:sz w:val="40"/>
                <w:szCs w:val="40"/>
              </w:rPr>
              <w:t>Roční zpráva</w:t>
            </w:r>
            <w:r w:rsidR="00F51949">
              <w:rPr>
                <w:rFonts w:ascii="Arial" w:hAnsi="Arial" w:cs="Arial"/>
                <w:b/>
                <w:bCs/>
                <w:color w:val="000000"/>
                <w:sz w:val="40"/>
                <w:szCs w:val="40"/>
              </w:rPr>
              <w:t xml:space="preserve"> o zpracování a ochraně osobních </w:t>
            </w:r>
            <w:r w:rsidR="003F61A6">
              <w:rPr>
                <w:rFonts w:ascii="Arial" w:hAnsi="Arial" w:cs="Arial"/>
                <w:b/>
                <w:bCs/>
                <w:color w:val="000000"/>
                <w:sz w:val="40"/>
                <w:szCs w:val="40"/>
              </w:rPr>
              <w:t>údajů</w:t>
            </w:r>
            <w:r w:rsidR="008E09AE">
              <w:rPr>
                <w:rFonts w:ascii="Arial" w:hAnsi="Arial" w:cs="Arial"/>
                <w:b/>
                <w:bCs/>
                <w:color w:val="000000"/>
                <w:sz w:val="40"/>
                <w:szCs w:val="40"/>
              </w:rPr>
              <w:t xml:space="preserve"> </w:t>
            </w:r>
            <w:r w:rsidR="003F61A6">
              <w:rPr>
                <w:rFonts w:ascii="Arial" w:hAnsi="Arial" w:cs="Arial"/>
                <w:b/>
                <w:bCs/>
                <w:color w:val="000000"/>
                <w:sz w:val="40"/>
                <w:szCs w:val="40"/>
              </w:rPr>
              <w:t>v období květen 20</w:t>
            </w:r>
            <w:r w:rsidR="007D4B0D">
              <w:rPr>
                <w:rFonts w:ascii="Arial" w:hAnsi="Arial" w:cs="Arial"/>
                <w:b/>
                <w:bCs/>
                <w:color w:val="000000"/>
                <w:sz w:val="40"/>
                <w:szCs w:val="40"/>
              </w:rPr>
              <w:t>20</w:t>
            </w:r>
            <w:r w:rsidR="003F61A6">
              <w:rPr>
                <w:rFonts w:ascii="Arial" w:hAnsi="Arial" w:cs="Arial"/>
                <w:b/>
                <w:bCs/>
                <w:color w:val="000000"/>
                <w:sz w:val="40"/>
                <w:szCs w:val="40"/>
              </w:rPr>
              <w:t xml:space="preserve"> až květen 20</w:t>
            </w:r>
            <w:r w:rsidR="00F4153B">
              <w:rPr>
                <w:rFonts w:ascii="Arial" w:hAnsi="Arial" w:cs="Arial"/>
                <w:b/>
                <w:bCs/>
                <w:color w:val="000000"/>
                <w:sz w:val="40"/>
                <w:szCs w:val="40"/>
              </w:rPr>
              <w:t>2</w:t>
            </w:r>
            <w:r w:rsidR="007D4B0D">
              <w:rPr>
                <w:rFonts w:ascii="Arial" w:hAnsi="Arial" w:cs="Arial"/>
                <w:b/>
                <w:bCs/>
                <w:color w:val="000000"/>
                <w:sz w:val="40"/>
                <w:szCs w:val="40"/>
              </w:rPr>
              <w:t>1</w:t>
            </w:r>
            <w:r w:rsidR="001B567D">
              <w:rPr>
                <w:rFonts w:ascii="Arial" w:hAnsi="Arial" w:cs="Arial"/>
                <w:b/>
                <w:bCs/>
                <w:color w:val="000000"/>
                <w:sz w:val="40"/>
                <w:szCs w:val="40"/>
              </w:rPr>
              <w:t xml:space="preserve">  </w:t>
            </w:r>
          </w:p>
          <w:p w14:paraId="7C5FA791" w14:textId="78C7F845" w:rsidR="00361B7B" w:rsidRDefault="00361B7B">
            <w:pPr>
              <w:pStyle w:val="Standard"/>
              <w:spacing w:before="60" w:after="60"/>
              <w:jc w:val="center"/>
              <w:rPr>
                <w:rFonts w:ascii="Arial" w:hAnsi="Arial" w:cs="Arial"/>
                <w:b/>
                <w:bCs/>
                <w:color w:val="000000"/>
                <w:sz w:val="40"/>
                <w:szCs w:val="40"/>
              </w:rPr>
            </w:pPr>
          </w:p>
        </w:tc>
      </w:tr>
      <w:tr w:rsidR="008E32B2" w14:paraId="7D400D30" w14:textId="77777777">
        <w:trPr>
          <w:trHeight w:val="454"/>
        </w:trPr>
        <w:tc>
          <w:tcPr>
            <w:tcW w:w="9255" w:type="dxa"/>
            <w:tcBorders>
              <w:top w:val="single" w:sz="8" w:space="0" w:color="00000A"/>
              <w:left w:val="single" w:sz="8" w:space="0" w:color="00000A"/>
              <w:bottom w:val="single" w:sz="8" w:space="0" w:color="00000A"/>
              <w:right w:val="single" w:sz="8" w:space="0" w:color="00000A"/>
            </w:tcBorders>
            <w:shd w:val="clear" w:color="auto" w:fill="DEEAF6"/>
            <w:tcMar>
              <w:top w:w="0" w:type="dxa"/>
              <w:left w:w="70" w:type="dxa"/>
              <w:bottom w:w="0" w:type="dxa"/>
              <w:right w:w="70" w:type="dxa"/>
            </w:tcMar>
            <w:vAlign w:val="center"/>
          </w:tcPr>
          <w:p w14:paraId="74ABC8B7" w14:textId="3CD2A1E2" w:rsidR="008E32B2" w:rsidRDefault="00F4153B" w:rsidP="00DC35F6">
            <w:pPr>
              <w:pStyle w:val="Standard"/>
              <w:numPr>
                <w:ilvl w:val="0"/>
                <w:numId w:val="1"/>
              </w:numPr>
              <w:spacing w:before="60" w:after="60"/>
              <w:rPr>
                <w:rFonts w:ascii="Arial" w:hAnsi="Arial" w:cs="Arial"/>
                <w:b/>
                <w:bCs/>
                <w:color w:val="000000"/>
              </w:rPr>
            </w:pPr>
            <w:r>
              <w:rPr>
                <w:rFonts w:ascii="Arial" w:hAnsi="Arial" w:cs="Arial"/>
                <w:b/>
                <w:bCs/>
                <w:color w:val="000000"/>
              </w:rPr>
              <w:t xml:space="preserve">Platné základních povinností </w:t>
            </w:r>
            <w:r w:rsidR="006E527E">
              <w:rPr>
                <w:rFonts w:ascii="Arial" w:hAnsi="Arial" w:cs="Arial"/>
                <w:b/>
                <w:bCs/>
                <w:color w:val="000000"/>
              </w:rPr>
              <w:t>úřadu</w:t>
            </w:r>
            <w:r>
              <w:rPr>
                <w:rFonts w:ascii="Arial" w:hAnsi="Arial" w:cs="Arial"/>
                <w:b/>
                <w:bCs/>
                <w:color w:val="000000"/>
              </w:rPr>
              <w:t xml:space="preserve"> dle Nařízení EU 679/2016 a zákona č.110/2019 Sb.</w:t>
            </w:r>
          </w:p>
        </w:tc>
      </w:tr>
      <w:tr w:rsidR="008E32B2" w14:paraId="0E890526" w14:textId="77777777">
        <w:trPr>
          <w:trHeight w:val="1479"/>
        </w:trPr>
        <w:tc>
          <w:tcPr>
            <w:tcW w:w="9255" w:type="dxa"/>
            <w:tcBorders>
              <w:top w:val="single" w:sz="8" w:space="0" w:color="00000A"/>
              <w:left w:val="single" w:sz="8" w:space="0" w:color="00000A"/>
              <w:right w:val="single" w:sz="8" w:space="0" w:color="00000A"/>
            </w:tcBorders>
            <w:tcMar>
              <w:top w:w="0" w:type="dxa"/>
              <w:left w:w="70" w:type="dxa"/>
              <w:bottom w:w="0" w:type="dxa"/>
              <w:right w:w="70" w:type="dxa"/>
            </w:tcMar>
            <w:vAlign w:val="center"/>
          </w:tcPr>
          <w:p w14:paraId="1D46DC42" w14:textId="746ECC79" w:rsidR="008E32B2" w:rsidRDefault="00896149" w:rsidP="00C33A90">
            <w:pPr>
              <w:pStyle w:val="Standard"/>
              <w:numPr>
                <w:ilvl w:val="1"/>
                <w:numId w:val="1"/>
              </w:numPr>
              <w:spacing w:before="60" w:after="60"/>
              <w:rPr>
                <w:rFonts w:ascii="Arial" w:hAnsi="Arial" w:cs="Arial"/>
                <w:color w:val="000000"/>
              </w:rPr>
            </w:pPr>
            <w:r>
              <w:rPr>
                <w:rFonts w:ascii="Arial" w:hAnsi="Arial" w:cs="Arial"/>
                <w:color w:val="000000"/>
              </w:rPr>
              <w:t>Jmenování Pověřence pro ochranu osobních údaj</w:t>
            </w:r>
            <w:r w:rsidR="00FD2700">
              <w:rPr>
                <w:rFonts w:ascii="Arial" w:hAnsi="Arial" w:cs="Arial"/>
                <w:color w:val="000000"/>
              </w:rPr>
              <w:t>ů</w:t>
            </w:r>
          </w:p>
          <w:p w14:paraId="3B3C9CB3" w14:textId="2069077C" w:rsidR="00896149" w:rsidRDefault="00533EBA" w:rsidP="00C33A90">
            <w:pPr>
              <w:pStyle w:val="Standard"/>
              <w:numPr>
                <w:ilvl w:val="1"/>
                <w:numId w:val="1"/>
              </w:numPr>
              <w:spacing w:before="60" w:after="60"/>
              <w:rPr>
                <w:rFonts w:ascii="Arial" w:hAnsi="Arial" w:cs="Arial"/>
                <w:color w:val="000000"/>
              </w:rPr>
            </w:pPr>
            <w:r>
              <w:rPr>
                <w:rFonts w:ascii="Arial" w:hAnsi="Arial" w:cs="Arial"/>
                <w:color w:val="000000"/>
              </w:rPr>
              <w:t>Zaslání i</w:t>
            </w:r>
            <w:r w:rsidR="0086210D">
              <w:rPr>
                <w:rFonts w:ascii="Arial" w:hAnsi="Arial" w:cs="Arial"/>
                <w:color w:val="000000"/>
              </w:rPr>
              <w:t xml:space="preserve">nformace o jmenování Pověřence </w:t>
            </w:r>
            <w:r w:rsidR="00E34DDF">
              <w:rPr>
                <w:rFonts w:ascii="Arial" w:hAnsi="Arial" w:cs="Arial"/>
                <w:color w:val="000000"/>
              </w:rPr>
              <w:t>na Úřad pro ochranu osobních údajů</w:t>
            </w:r>
          </w:p>
          <w:p w14:paraId="055C18F7" w14:textId="75D1A8F6" w:rsidR="00E34DDF" w:rsidRDefault="00E34DDF" w:rsidP="00C33A90">
            <w:pPr>
              <w:pStyle w:val="Standard"/>
              <w:numPr>
                <w:ilvl w:val="1"/>
                <w:numId w:val="1"/>
              </w:numPr>
              <w:spacing w:before="60" w:after="60"/>
              <w:rPr>
                <w:rFonts w:ascii="Arial" w:hAnsi="Arial" w:cs="Arial"/>
                <w:color w:val="000000"/>
              </w:rPr>
            </w:pPr>
            <w:r>
              <w:rPr>
                <w:rFonts w:ascii="Arial" w:hAnsi="Arial" w:cs="Arial"/>
                <w:color w:val="000000"/>
              </w:rPr>
              <w:t xml:space="preserve">Zveřejnění Pověřence na </w:t>
            </w:r>
            <w:r w:rsidR="00B65052">
              <w:rPr>
                <w:rFonts w:ascii="Arial" w:hAnsi="Arial" w:cs="Arial"/>
                <w:color w:val="000000"/>
              </w:rPr>
              <w:t>svých internetových stránkách</w:t>
            </w:r>
          </w:p>
          <w:p w14:paraId="074BD504" w14:textId="23349485" w:rsidR="00B65052" w:rsidRDefault="00B65052" w:rsidP="00C33A90">
            <w:pPr>
              <w:pStyle w:val="Standard"/>
              <w:numPr>
                <w:ilvl w:val="1"/>
                <w:numId w:val="1"/>
              </w:numPr>
              <w:spacing w:before="60" w:after="60"/>
              <w:rPr>
                <w:rFonts w:ascii="Arial" w:hAnsi="Arial" w:cs="Arial"/>
                <w:color w:val="000000"/>
              </w:rPr>
            </w:pPr>
            <w:r>
              <w:rPr>
                <w:rFonts w:ascii="Arial" w:hAnsi="Arial" w:cs="Arial"/>
                <w:color w:val="000000"/>
              </w:rPr>
              <w:t>Zpracování dokumentace GDPR</w:t>
            </w:r>
            <w:r w:rsidR="00974F9F">
              <w:rPr>
                <w:rFonts w:ascii="Arial" w:hAnsi="Arial" w:cs="Arial"/>
                <w:color w:val="000000"/>
              </w:rPr>
              <w:t>, zejména Záznamů o provedení činnosti a vnitřní směrnic</w:t>
            </w:r>
            <w:r w:rsidR="00364686">
              <w:rPr>
                <w:rFonts w:ascii="Arial" w:hAnsi="Arial" w:cs="Arial"/>
                <w:color w:val="000000"/>
              </w:rPr>
              <w:t>e</w:t>
            </w:r>
            <w:r w:rsidR="00974F9F">
              <w:rPr>
                <w:rFonts w:ascii="Arial" w:hAnsi="Arial" w:cs="Arial"/>
                <w:color w:val="000000"/>
              </w:rPr>
              <w:t xml:space="preserve"> o </w:t>
            </w:r>
            <w:r w:rsidR="00FD2700">
              <w:rPr>
                <w:rFonts w:ascii="Arial" w:hAnsi="Arial" w:cs="Arial"/>
                <w:color w:val="000000"/>
              </w:rPr>
              <w:t>ochraně osobních údajů</w:t>
            </w:r>
          </w:p>
          <w:p w14:paraId="7CA743A4" w14:textId="7850F3AA" w:rsidR="00FD2700" w:rsidRDefault="000D08E1" w:rsidP="00C33A90">
            <w:pPr>
              <w:pStyle w:val="Standard"/>
              <w:numPr>
                <w:ilvl w:val="1"/>
                <w:numId w:val="1"/>
              </w:numPr>
              <w:spacing w:before="60" w:after="60"/>
              <w:rPr>
                <w:rFonts w:ascii="Arial" w:hAnsi="Arial" w:cs="Arial"/>
                <w:color w:val="000000"/>
              </w:rPr>
            </w:pPr>
            <w:r>
              <w:rPr>
                <w:rFonts w:ascii="Arial" w:hAnsi="Arial" w:cs="Arial"/>
                <w:color w:val="000000"/>
              </w:rPr>
              <w:t xml:space="preserve">Seznámení osob zpracovávající údaje </w:t>
            </w:r>
            <w:r w:rsidR="00964630">
              <w:rPr>
                <w:rFonts w:ascii="Arial" w:hAnsi="Arial" w:cs="Arial"/>
                <w:color w:val="000000"/>
              </w:rPr>
              <w:t>s povinnostmi při práci s osobními údaji</w:t>
            </w:r>
          </w:p>
          <w:p w14:paraId="54A0B5DF" w14:textId="5E4044EE" w:rsidR="00533EBA" w:rsidRDefault="00C82A40" w:rsidP="00C33A90">
            <w:pPr>
              <w:pStyle w:val="Standard"/>
              <w:numPr>
                <w:ilvl w:val="1"/>
                <w:numId w:val="1"/>
              </w:numPr>
              <w:spacing w:before="60" w:after="60"/>
              <w:rPr>
                <w:rFonts w:ascii="Arial" w:hAnsi="Arial" w:cs="Arial"/>
                <w:color w:val="000000"/>
              </w:rPr>
            </w:pPr>
            <w:r>
              <w:rPr>
                <w:rFonts w:ascii="Arial" w:hAnsi="Arial" w:cs="Arial"/>
                <w:color w:val="000000"/>
              </w:rPr>
              <w:t>Doplnění smluv s</w:t>
            </w:r>
            <w:r w:rsidR="00B112D1">
              <w:rPr>
                <w:rFonts w:ascii="Arial" w:hAnsi="Arial" w:cs="Arial"/>
                <w:color w:val="000000"/>
              </w:rPr>
              <w:t> </w:t>
            </w:r>
            <w:r>
              <w:rPr>
                <w:rFonts w:ascii="Arial" w:hAnsi="Arial" w:cs="Arial"/>
                <w:color w:val="000000"/>
              </w:rPr>
              <w:t>externími</w:t>
            </w:r>
            <w:r w:rsidR="00B112D1">
              <w:rPr>
                <w:rFonts w:ascii="Arial" w:hAnsi="Arial" w:cs="Arial"/>
                <w:color w:val="000000"/>
              </w:rPr>
              <w:t xml:space="preserve"> subjekty zpracová</w:t>
            </w:r>
            <w:r w:rsidR="00DD7312">
              <w:rPr>
                <w:rFonts w:ascii="Arial" w:hAnsi="Arial" w:cs="Arial"/>
                <w:color w:val="000000"/>
              </w:rPr>
              <w:t>va</w:t>
            </w:r>
            <w:r w:rsidR="00B112D1">
              <w:rPr>
                <w:rFonts w:ascii="Arial" w:hAnsi="Arial" w:cs="Arial"/>
                <w:color w:val="000000"/>
              </w:rPr>
              <w:t>jící</w:t>
            </w:r>
            <w:r w:rsidR="00AE6930">
              <w:rPr>
                <w:rFonts w:ascii="Arial" w:hAnsi="Arial" w:cs="Arial"/>
                <w:color w:val="000000"/>
              </w:rPr>
              <w:t xml:space="preserve"> osobní údaje </w:t>
            </w:r>
            <w:r w:rsidR="00DD7312">
              <w:rPr>
                <w:rFonts w:ascii="Arial" w:hAnsi="Arial" w:cs="Arial"/>
                <w:color w:val="000000"/>
              </w:rPr>
              <w:t>o</w:t>
            </w:r>
            <w:r w:rsidR="000F19F4">
              <w:rPr>
                <w:rFonts w:ascii="Arial" w:hAnsi="Arial" w:cs="Arial"/>
                <w:color w:val="000000"/>
              </w:rPr>
              <w:t xml:space="preserve"> doložku, že tyty údaje zpracovávající v souladu s</w:t>
            </w:r>
            <w:r w:rsidR="00516A35">
              <w:rPr>
                <w:rFonts w:ascii="Arial" w:hAnsi="Arial" w:cs="Arial"/>
                <w:color w:val="000000"/>
              </w:rPr>
              <w:t> </w:t>
            </w:r>
            <w:r w:rsidR="000F19F4">
              <w:rPr>
                <w:rFonts w:ascii="Arial" w:hAnsi="Arial" w:cs="Arial"/>
                <w:color w:val="000000"/>
              </w:rPr>
              <w:t>GDPR</w:t>
            </w:r>
          </w:p>
          <w:p w14:paraId="366F5783" w14:textId="2ED4CE91" w:rsidR="008E32B2" w:rsidRDefault="00516A35" w:rsidP="00904872">
            <w:pPr>
              <w:pStyle w:val="Standard"/>
              <w:numPr>
                <w:ilvl w:val="1"/>
                <w:numId w:val="1"/>
              </w:numPr>
              <w:spacing w:before="60" w:after="60"/>
              <w:jc w:val="both"/>
              <w:rPr>
                <w:rFonts w:ascii="Arial" w:hAnsi="Arial" w:cs="Arial"/>
                <w:color w:val="000000"/>
              </w:rPr>
            </w:pPr>
            <w:r w:rsidRPr="00904872">
              <w:rPr>
                <w:rFonts w:ascii="Arial" w:hAnsi="Arial" w:cs="Arial"/>
                <w:color w:val="000000"/>
              </w:rPr>
              <w:t>Přijetí vnitřních opatření k</w:t>
            </w:r>
            <w:r w:rsidR="00FA0954" w:rsidRPr="00904872">
              <w:rPr>
                <w:rFonts w:ascii="Arial" w:hAnsi="Arial" w:cs="Arial"/>
                <w:color w:val="000000"/>
              </w:rPr>
              <w:t xml:space="preserve"> přístupu a zpracování osobních údajů jako </w:t>
            </w:r>
            <w:proofErr w:type="gramStart"/>
            <w:r w:rsidR="006C4697" w:rsidRPr="00904872">
              <w:rPr>
                <w:rFonts w:ascii="Arial" w:hAnsi="Arial" w:cs="Arial"/>
                <w:color w:val="000000"/>
              </w:rPr>
              <w:t xml:space="preserve">je </w:t>
            </w:r>
            <w:r w:rsidR="00C12C79">
              <w:rPr>
                <w:rFonts w:ascii="Arial" w:hAnsi="Arial" w:cs="Arial"/>
                <w:color w:val="000000"/>
              </w:rPr>
              <w:t xml:space="preserve"> </w:t>
            </w:r>
            <w:r w:rsidR="00C44F1E">
              <w:rPr>
                <w:rFonts w:ascii="Arial" w:hAnsi="Arial" w:cs="Arial"/>
                <w:color w:val="000000"/>
              </w:rPr>
              <w:t>zabezpečení</w:t>
            </w:r>
            <w:proofErr w:type="gramEnd"/>
            <w:r w:rsidR="00C44F1E">
              <w:rPr>
                <w:rFonts w:ascii="Arial" w:hAnsi="Arial" w:cs="Arial"/>
                <w:color w:val="000000"/>
              </w:rPr>
              <w:t xml:space="preserve"> </w:t>
            </w:r>
            <w:r w:rsidR="00D06EA0" w:rsidRPr="00904872">
              <w:rPr>
                <w:rFonts w:ascii="Arial" w:hAnsi="Arial" w:cs="Arial"/>
                <w:color w:val="000000"/>
              </w:rPr>
              <w:t xml:space="preserve">přístupů do výpočetní techniky a zabezpečení prostorů, kde jsou </w:t>
            </w:r>
            <w:r w:rsidR="008362AE" w:rsidRPr="00904872">
              <w:rPr>
                <w:rFonts w:ascii="Arial" w:hAnsi="Arial" w:cs="Arial"/>
                <w:color w:val="000000"/>
              </w:rPr>
              <w:t>dokumenty s osobními údaji ukládány.</w:t>
            </w:r>
            <w:r w:rsidR="00FD2700" w:rsidRPr="00904872">
              <w:rPr>
                <w:rFonts w:ascii="Arial" w:hAnsi="Arial" w:cs="Arial"/>
                <w:color w:val="000000"/>
              </w:rPr>
              <w:t xml:space="preserve"> </w:t>
            </w:r>
          </w:p>
          <w:p w14:paraId="35056426" w14:textId="35272989" w:rsidR="00F4153B" w:rsidRDefault="00F4153B" w:rsidP="00352974">
            <w:pPr>
              <w:pStyle w:val="Standard"/>
              <w:numPr>
                <w:ilvl w:val="1"/>
                <w:numId w:val="1"/>
              </w:numPr>
              <w:spacing w:before="60" w:after="60"/>
              <w:jc w:val="both"/>
              <w:rPr>
                <w:rFonts w:ascii="Arial" w:hAnsi="Arial" w:cs="Arial"/>
                <w:color w:val="000000"/>
              </w:rPr>
            </w:pPr>
            <w:r w:rsidRPr="00F4153B">
              <w:rPr>
                <w:rFonts w:ascii="Arial" w:hAnsi="Arial" w:cs="Arial"/>
                <w:color w:val="000000"/>
              </w:rPr>
              <w:t xml:space="preserve">Doporučení zpracování dokumentu Posouzení vlivu na ochranu osobních údajů </w:t>
            </w:r>
            <w:r w:rsidR="006E527E">
              <w:rPr>
                <w:rFonts w:ascii="Arial" w:hAnsi="Arial" w:cs="Arial"/>
                <w:color w:val="000000"/>
              </w:rPr>
              <w:t>úřadu</w:t>
            </w:r>
            <w:r w:rsidRPr="00F4153B">
              <w:rPr>
                <w:rFonts w:ascii="Arial" w:hAnsi="Arial" w:cs="Arial"/>
                <w:color w:val="000000"/>
              </w:rPr>
              <w:t xml:space="preserve"> </w:t>
            </w:r>
            <w:r w:rsidR="00132004">
              <w:rPr>
                <w:rFonts w:ascii="Arial" w:hAnsi="Arial" w:cs="Arial"/>
                <w:color w:val="000000"/>
              </w:rPr>
              <w:t>–</w:t>
            </w:r>
            <w:r w:rsidRPr="00F4153B">
              <w:rPr>
                <w:rFonts w:ascii="Arial" w:hAnsi="Arial" w:cs="Arial"/>
                <w:color w:val="000000"/>
              </w:rPr>
              <w:t xml:space="preserve"> DPIA</w:t>
            </w:r>
          </w:p>
          <w:p w14:paraId="05851A11" w14:textId="60C821DD" w:rsidR="00132004" w:rsidRPr="00F4153B" w:rsidRDefault="00132004" w:rsidP="00352974">
            <w:pPr>
              <w:pStyle w:val="Standard"/>
              <w:numPr>
                <w:ilvl w:val="1"/>
                <w:numId w:val="1"/>
              </w:numPr>
              <w:spacing w:before="60" w:after="60"/>
              <w:jc w:val="both"/>
              <w:rPr>
                <w:rFonts w:ascii="Arial" w:hAnsi="Arial" w:cs="Arial"/>
                <w:color w:val="000000"/>
              </w:rPr>
            </w:pPr>
            <w:r>
              <w:rPr>
                <w:rFonts w:ascii="Arial" w:hAnsi="Arial" w:cs="Arial"/>
                <w:color w:val="000000"/>
              </w:rPr>
              <w:t>Dodržování zásad GDPR při testování zaměstnanců</w:t>
            </w:r>
            <w:r w:rsidR="00361B7B">
              <w:rPr>
                <w:rFonts w:ascii="Arial" w:hAnsi="Arial" w:cs="Arial"/>
                <w:color w:val="000000"/>
              </w:rPr>
              <w:t xml:space="preserve"> na </w:t>
            </w:r>
            <w:proofErr w:type="spellStart"/>
            <w:r w:rsidR="00361B7B">
              <w:rPr>
                <w:rFonts w:ascii="Arial" w:hAnsi="Arial" w:cs="Arial"/>
                <w:color w:val="000000"/>
              </w:rPr>
              <w:t>Covid</w:t>
            </w:r>
            <w:proofErr w:type="spellEnd"/>
            <w:r w:rsidR="00361B7B">
              <w:rPr>
                <w:rFonts w:ascii="Arial" w:hAnsi="Arial" w:cs="Arial"/>
                <w:color w:val="000000"/>
              </w:rPr>
              <w:t xml:space="preserve"> -19</w:t>
            </w:r>
          </w:p>
          <w:p w14:paraId="7A2C3F65" w14:textId="77777777" w:rsidR="008E32B2" w:rsidRDefault="008E32B2" w:rsidP="000E6705">
            <w:pPr>
              <w:pStyle w:val="Standard"/>
              <w:spacing w:before="60" w:after="60"/>
              <w:ind w:left="720"/>
              <w:jc w:val="both"/>
              <w:rPr>
                <w:rFonts w:ascii="Arial" w:hAnsi="Arial" w:cs="Arial"/>
                <w:color w:val="000000"/>
              </w:rPr>
            </w:pPr>
          </w:p>
        </w:tc>
      </w:tr>
      <w:tr w:rsidR="008E32B2" w14:paraId="107F88F0" w14:textId="77777777">
        <w:trPr>
          <w:trHeight w:val="454"/>
        </w:trPr>
        <w:tc>
          <w:tcPr>
            <w:tcW w:w="9255" w:type="dxa"/>
            <w:tcBorders>
              <w:top w:val="single" w:sz="8" w:space="0" w:color="00000A"/>
              <w:left w:val="single" w:sz="8" w:space="0" w:color="00000A"/>
              <w:bottom w:val="single" w:sz="8" w:space="0" w:color="00000A"/>
              <w:right w:val="single" w:sz="8" w:space="0" w:color="00000A"/>
            </w:tcBorders>
            <w:shd w:val="clear" w:color="auto" w:fill="DEEAF6"/>
            <w:tcMar>
              <w:top w:w="0" w:type="dxa"/>
              <w:left w:w="70" w:type="dxa"/>
              <w:bottom w:w="0" w:type="dxa"/>
              <w:right w:w="70" w:type="dxa"/>
            </w:tcMar>
            <w:vAlign w:val="center"/>
          </w:tcPr>
          <w:p w14:paraId="3997353B" w14:textId="26D94192" w:rsidR="008E32B2" w:rsidRDefault="0058776B">
            <w:pPr>
              <w:pStyle w:val="Standard"/>
              <w:numPr>
                <w:ilvl w:val="0"/>
                <w:numId w:val="2"/>
              </w:numPr>
              <w:spacing w:before="60" w:after="60"/>
              <w:rPr>
                <w:rFonts w:ascii="Arial" w:hAnsi="Arial" w:cs="Arial"/>
                <w:b/>
                <w:bCs/>
                <w:color w:val="000000"/>
              </w:rPr>
            </w:pPr>
            <w:r>
              <w:rPr>
                <w:rFonts w:ascii="Arial" w:hAnsi="Arial" w:cs="Arial"/>
                <w:b/>
                <w:bCs/>
                <w:color w:val="000000"/>
              </w:rPr>
              <w:t>Řešení bezpečnostních incidentů za hodnocené období</w:t>
            </w:r>
          </w:p>
          <w:p w14:paraId="78E1FBA3" w14:textId="77777777" w:rsidR="008E32B2" w:rsidRDefault="008E32B2">
            <w:pPr>
              <w:pStyle w:val="Standard"/>
              <w:spacing w:before="60" w:after="60"/>
              <w:rPr>
                <w:rFonts w:ascii="Arial" w:hAnsi="Arial" w:cs="Arial"/>
                <w:b/>
                <w:bCs/>
                <w:color w:val="000000"/>
                <w:sz w:val="26"/>
                <w:szCs w:val="26"/>
              </w:rPr>
            </w:pPr>
          </w:p>
        </w:tc>
      </w:tr>
      <w:tr w:rsidR="008E32B2" w14:paraId="464A5972" w14:textId="77777777">
        <w:trPr>
          <w:trHeight w:val="454"/>
        </w:trPr>
        <w:tc>
          <w:tcPr>
            <w:tcW w:w="9255" w:type="dxa"/>
            <w:tcBorders>
              <w:top w:val="single" w:sz="8" w:space="0" w:color="00000A"/>
              <w:left w:val="single" w:sz="8" w:space="0" w:color="00000A"/>
              <w:bottom w:val="single" w:sz="8" w:space="0" w:color="00000A"/>
              <w:right w:val="single" w:sz="8" w:space="0" w:color="00000A"/>
            </w:tcBorders>
            <w:tcMar>
              <w:top w:w="0" w:type="dxa"/>
              <w:left w:w="70" w:type="dxa"/>
              <w:bottom w:w="0" w:type="dxa"/>
              <w:right w:w="70" w:type="dxa"/>
            </w:tcMar>
            <w:vAlign w:val="center"/>
          </w:tcPr>
          <w:p w14:paraId="07B5283F" w14:textId="77777777" w:rsidR="008E32B2" w:rsidRDefault="008E32B2">
            <w:pPr>
              <w:pStyle w:val="Standard"/>
              <w:spacing w:before="60" w:after="60"/>
              <w:jc w:val="both"/>
              <w:rPr>
                <w:rFonts w:ascii="Arial" w:hAnsi="Arial" w:cs="Arial"/>
                <w:color w:val="000000"/>
              </w:rPr>
            </w:pPr>
          </w:p>
          <w:p w14:paraId="6EB4A553" w14:textId="766410D1" w:rsidR="006E527E" w:rsidRDefault="001C3CEE" w:rsidP="00F4153B">
            <w:pPr>
              <w:pStyle w:val="Standard"/>
              <w:spacing w:before="60" w:after="60"/>
              <w:jc w:val="center"/>
              <w:rPr>
                <w:rFonts w:ascii="Arial" w:hAnsi="Arial" w:cs="Arial"/>
                <w:color w:val="000000"/>
              </w:rPr>
            </w:pPr>
            <w:r>
              <w:rPr>
                <w:rFonts w:ascii="Arial" w:hAnsi="Arial" w:cs="Arial"/>
                <w:color w:val="000000"/>
              </w:rPr>
              <w:t>V hodnoceném období nebyly na</w:t>
            </w:r>
            <w:r w:rsidR="00155294">
              <w:rPr>
                <w:rFonts w:ascii="Arial" w:hAnsi="Arial" w:cs="Arial"/>
                <w:color w:val="000000"/>
              </w:rPr>
              <w:t xml:space="preserve"> úřadě</w:t>
            </w:r>
            <w:r>
              <w:rPr>
                <w:rFonts w:ascii="Arial" w:hAnsi="Arial" w:cs="Arial"/>
                <w:color w:val="000000"/>
              </w:rPr>
              <w:t xml:space="preserve"> řešeny žádné</w:t>
            </w:r>
          </w:p>
          <w:p w14:paraId="0343A352" w14:textId="3ED0E381" w:rsidR="008E32B2" w:rsidRDefault="003621ED" w:rsidP="00F4153B">
            <w:pPr>
              <w:pStyle w:val="Standard"/>
              <w:spacing w:before="60" w:after="60"/>
              <w:jc w:val="center"/>
              <w:rPr>
                <w:rFonts w:ascii="Arial" w:hAnsi="Arial" w:cs="Arial"/>
                <w:color w:val="000000"/>
              </w:rPr>
            </w:pPr>
            <w:r>
              <w:rPr>
                <w:rFonts w:ascii="Arial" w:hAnsi="Arial" w:cs="Arial"/>
                <w:color w:val="000000"/>
              </w:rPr>
              <w:t xml:space="preserve"> bezpečnostní incidenty</w:t>
            </w:r>
          </w:p>
          <w:p w14:paraId="54DD3BC2" w14:textId="77777777" w:rsidR="008E32B2" w:rsidRDefault="008E32B2">
            <w:pPr>
              <w:pStyle w:val="Standard"/>
              <w:spacing w:before="60" w:after="60"/>
              <w:jc w:val="center"/>
              <w:rPr>
                <w:rFonts w:ascii="Arial" w:hAnsi="Arial" w:cs="Arial"/>
                <w:color w:val="000000"/>
              </w:rPr>
            </w:pPr>
          </w:p>
        </w:tc>
      </w:tr>
      <w:tr w:rsidR="008E32B2" w14:paraId="48B8738C" w14:textId="77777777">
        <w:trPr>
          <w:trHeight w:val="454"/>
        </w:trPr>
        <w:tc>
          <w:tcPr>
            <w:tcW w:w="9255" w:type="dxa"/>
            <w:tcBorders>
              <w:top w:val="single" w:sz="8" w:space="0" w:color="00000A"/>
              <w:left w:val="single" w:sz="8" w:space="0" w:color="00000A"/>
              <w:bottom w:val="single" w:sz="8" w:space="0" w:color="00000A"/>
              <w:right w:val="single" w:sz="8" w:space="0" w:color="00000A"/>
            </w:tcBorders>
            <w:shd w:val="clear" w:color="auto" w:fill="DEEAF6"/>
            <w:tcMar>
              <w:top w:w="0" w:type="dxa"/>
              <w:left w:w="70" w:type="dxa"/>
              <w:bottom w:w="0" w:type="dxa"/>
              <w:right w:w="70" w:type="dxa"/>
            </w:tcMar>
            <w:vAlign w:val="center"/>
          </w:tcPr>
          <w:p w14:paraId="2D563E56" w14:textId="2E067BA8" w:rsidR="008E32B2" w:rsidRDefault="001B567D">
            <w:pPr>
              <w:pStyle w:val="Standard"/>
              <w:numPr>
                <w:ilvl w:val="0"/>
                <w:numId w:val="3"/>
              </w:numPr>
              <w:spacing w:before="60" w:after="60"/>
              <w:rPr>
                <w:rFonts w:ascii="Arial" w:hAnsi="Arial" w:cs="Arial"/>
                <w:b/>
                <w:bCs/>
                <w:color w:val="000000"/>
              </w:rPr>
            </w:pPr>
            <w:r>
              <w:rPr>
                <w:rFonts w:ascii="Arial" w:hAnsi="Arial" w:cs="Arial"/>
                <w:b/>
                <w:bCs/>
                <w:color w:val="000000"/>
              </w:rPr>
              <w:t xml:space="preserve"> </w:t>
            </w:r>
            <w:r w:rsidR="00FA1D1A">
              <w:rPr>
                <w:rFonts w:ascii="Arial" w:hAnsi="Arial" w:cs="Arial"/>
                <w:b/>
                <w:bCs/>
                <w:color w:val="000000"/>
              </w:rPr>
              <w:t>Změny v legislativě</w:t>
            </w:r>
          </w:p>
          <w:p w14:paraId="60A22D80" w14:textId="77777777" w:rsidR="008E32B2" w:rsidRDefault="008E32B2">
            <w:pPr>
              <w:pStyle w:val="Standard"/>
              <w:spacing w:before="60" w:after="60"/>
              <w:rPr>
                <w:rFonts w:ascii="Arial" w:hAnsi="Arial" w:cs="Arial"/>
                <w:b/>
                <w:color w:val="000000"/>
              </w:rPr>
            </w:pPr>
          </w:p>
        </w:tc>
      </w:tr>
      <w:tr w:rsidR="00872E06" w14:paraId="26E2B734" w14:textId="77777777">
        <w:trPr>
          <w:trHeight w:val="454"/>
        </w:trPr>
        <w:tc>
          <w:tcPr>
            <w:tcW w:w="9255" w:type="dxa"/>
            <w:tcBorders>
              <w:top w:val="single" w:sz="8" w:space="0" w:color="00000A"/>
              <w:left w:val="single" w:sz="8" w:space="0" w:color="00000A"/>
              <w:bottom w:val="single" w:sz="8" w:space="0" w:color="00000A"/>
              <w:right w:val="single" w:sz="8" w:space="0" w:color="00000A"/>
            </w:tcBorders>
            <w:shd w:val="clear" w:color="auto" w:fill="DEEAF6"/>
            <w:tcMar>
              <w:top w:w="0" w:type="dxa"/>
              <w:left w:w="70" w:type="dxa"/>
              <w:bottom w:w="0" w:type="dxa"/>
              <w:right w:w="70" w:type="dxa"/>
            </w:tcMar>
            <w:vAlign w:val="center"/>
          </w:tcPr>
          <w:p w14:paraId="4BBFEBA1" w14:textId="193EE314" w:rsidR="00B52ADC" w:rsidRDefault="00B52ADC" w:rsidP="00E306A3">
            <w:pPr>
              <w:pStyle w:val="Standard"/>
              <w:spacing w:before="60" w:after="60"/>
              <w:rPr>
                <w:rFonts w:ascii="Arial" w:hAnsi="Arial" w:cs="Arial"/>
                <w:b/>
                <w:bCs/>
              </w:rPr>
            </w:pPr>
            <w:r>
              <w:rPr>
                <w:rFonts w:ascii="Arial" w:hAnsi="Arial" w:cs="Arial"/>
                <w:b/>
                <w:bCs/>
              </w:rPr>
              <w:t>V rámci řešení proti</w:t>
            </w:r>
            <w:r w:rsidR="0040185D">
              <w:rPr>
                <w:rFonts w:ascii="Arial" w:hAnsi="Arial" w:cs="Arial"/>
                <w:b/>
                <w:bCs/>
              </w:rPr>
              <w:t xml:space="preserve"> </w:t>
            </w:r>
            <w:r>
              <w:rPr>
                <w:rFonts w:ascii="Arial" w:hAnsi="Arial" w:cs="Arial"/>
                <w:b/>
                <w:bCs/>
              </w:rPr>
              <w:t>pandemických opatření Covid-19 nařízení Vlády ČR a MZ</w:t>
            </w:r>
            <w:r w:rsidR="0040185D">
              <w:rPr>
                <w:rFonts w:ascii="Arial" w:hAnsi="Arial" w:cs="Arial"/>
                <w:b/>
                <w:bCs/>
              </w:rPr>
              <w:t>ČR</w:t>
            </w:r>
            <w:r>
              <w:rPr>
                <w:rFonts w:ascii="Arial" w:hAnsi="Arial" w:cs="Arial"/>
                <w:b/>
                <w:bCs/>
              </w:rPr>
              <w:t xml:space="preserve"> s omezenou platností, zejména k testování zaměstnanců a očkování schválenými vakcínami. S GDPR souvisejí pouze v oblasti evidence testovaných a očkovaných osob. Zde platí povinnost zabezpečit data jak v listinné či elektronické podobě proti zneužití.</w:t>
            </w:r>
          </w:p>
          <w:p w14:paraId="7D518C86" w14:textId="77777777" w:rsidR="00B52ADC" w:rsidRDefault="00B52ADC" w:rsidP="00E306A3">
            <w:pPr>
              <w:pStyle w:val="Standard"/>
              <w:spacing w:before="60" w:after="60"/>
              <w:ind w:left="360"/>
              <w:rPr>
                <w:rFonts w:ascii="Arial" w:hAnsi="Arial" w:cs="Arial"/>
                <w:b/>
                <w:bCs/>
                <w:color w:val="000000"/>
              </w:rPr>
            </w:pPr>
          </w:p>
          <w:p w14:paraId="6E97CE45" w14:textId="77777777" w:rsidR="00745C15" w:rsidRPr="00D9560C" w:rsidRDefault="00745C15" w:rsidP="00E306A3">
            <w:pPr>
              <w:pStyle w:val="Standard"/>
              <w:spacing w:before="60" w:after="60"/>
              <w:rPr>
                <w:rFonts w:ascii="Arial" w:hAnsi="Arial" w:cs="Arial"/>
                <w:b/>
                <w:bCs/>
              </w:rPr>
            </w:pPr>
            <w:r w:rsidRPr="00D9560C">
              <w:rPr>
                <w:rFonts w:ascii="Arial" w:hAnsi="Arial" w:cs="Arial"/>
                <w:b/>
                <w:bCs/>
              </w:rPr>
              <w:t>V platnosti</w:t>
            </w:r>
            <w:r>
              <w:rPr>
                <w:rFonts w:ascii="Arial" w:hAnsi="Arial" w:cs="Arial"/>
                <w:b/>
                <w:bCs/>
              </w:rPr>
              <w:t xml:space="preserve"> i nadále</w:t>
            </w:r>
            <w:r w:rsidRPr="00D9560C">
              <w:rPr>
                <w:rFonts w:ascii="Arial" w:hAnsi="Arial" w:cs="Arial"/>
                <w:b/>
                <w:bCs/>
              </w:rPr>
              <w:t xml:space="preserve"> zůstává:</w:t>
            </w:r>
          </w:p>
          <w:p w14:paraId="50D12267" w14:textId="77777777" w:rsidR="00745C15" w:rsidRDefault="00745C15" w:rsidP="00E306A3">
            <w:pPr>
              <w:pStyle w:val="Standard"/>
              <w:spacing w:before="60" w:after="60"/>
              <w:rPr>
                <w:rFonts w:ascii="Arial" w:hAnsi="Arial" w:cs="Arial"/>
              </w:rPr>
            </w:pPr>
            <w:r>
              <w:rPr>
                <w:rFonts w:ascii="Arial" w:hAnsi="Arial" w:cs="Arial"/>
              </w:rPr>
              <w:t>Nařízení EU 679/2016</w:t>
            </w:r>
          </w:p>
          <w:p w14:paraId="0221B4A5" w14:textId="77777777" w:rsidR="00745C15" w:rsidRDefault="00745C15" w:rsidP="00E306A3">
            <w:pPr>
              <w:shd w:val="clear" w:color="auto" w:fill="FFFFFF"/>
              <w:spacing w:line="262" w:lineRule="atLeast"/>
              <w:rPr>
                <w:rFonts w:ascii="Arial" w:hAnsi="Arial" w:cs="Arial"/>
                <w:color w:val="000000"/>
                <w:sz w:val="24"/>
                <w:szCs w:val="24"/>
              </w:rPr>
            </w:pPr>
            <w:r w:rsidRPr="00D9560C">
              <w:rPr>
                <w:rFonts w:ascii="Arial" w:hAnsi="Arial" w:cs="Arial"/>
                <w:color w:val="000000"/>
                <w:sz w:val="24"/>
                <w:szCs w:val="24"/>
              </w:rPr>
              <w:t>Český zákon č. 110/2019 Sb. O zpracování osobních údajů</w:t>
            </w:r>
          </w:p>
          <w:p w14:paraId="3D4F50FC" w14:textId="4C33E128" w:rsidR="00B52ADC" w:rsidRDefault="00B52ADC" w:rsidP="00E306A3">
            <w:pPr>
              <w:pStyle w:val="Standard"/>
              <w:spacing w:before="60" w:after="60"/>
              <w:ind w:left="360"/>
              <w:rPr>
                <w:rFonts w:ascii="Arial" w:hAnsi="Arial" w:cs="Arial"/>
                <w:b/>
                <w:bCs/>
                <w:color w:val="000000"/>
              </w:rPr>
            </w:pPr>
          </w:p>
        </w:tc>
      </w:tr>
    </w:tbl>
    <w:p w14:paraId="45DDEBE2" w14:textId="4A356E33" w:rsidR="008E32B2" w:rsidRDefault="008E32B2">
      <w:pPr>
        <w:pStyle w:val="Standard"/>
      </w:pPr>
    </w:p>
    <w:p w14:paraId="7ED17616" w14:textId="44AC28D9" w:rsidR="00290465" w:rsidRDefault="00290465">
      <w:pPr>
        <w:pStyle w:val="Standard"/>
      </w:pPr>
    </w:p>
    <w:p w14:paraId="5E8E33AB" w14:textId="77777777" w:rsidR="00962129" w:rsidRPr="00CB3B3B" w:rsidRDefault="00962129" w:rsidP="00962129">
      <w:pPr>
        <w:shd w:val="clear" w:color="auto" w:fill="FFFFFF"/>
        <w:rPr>
          <w:rFonts w:ascii="Arial" w:hAnsi="Arial" w:cs="Arial"/>
          <w:b/>
          <w:color w:val="000000"/>
          <w:sz w:val="24"/>
          <w:szCs w:val="24"/>
        </w:rPr>
      </w:pPr>
      <w:r w:rsidRPr="00CB3B3B">
        <w:rPr>
          <w:rFonts w:ascii="Arial" w:hAnsi="Arial" w:cs="Arial"/>
          <w:b/>
          <w:color w:val="000000"/>
          <w:sz w:val="24"/>
          <w:szCs w:val="24"/>
        </w:rPr>
        <w:t>Počet přijatých stížností a podnětů</w:t>
      </w:r>
      <w:r>
        <w:rPr>
          <w:rFonts w:ascii="Arial" w:hAnsi="Arial" w:cs="Arial"/>
          <w:b/>
          <w:color w:val="000000"/>
          <w:sz w:val="24"/>
          <w:szCs w:val="24"/>
        </w:rPr>
        <w:t xml:space="preserve"> ÚOOÚ v roce 2020</w:t>
      </w:r>
      <w:r w:rsidRPr="00CB3B3B">
        <w:rPr>
          <w:rFonts w:ascii="Arial" w:hAnsi="Arial" w:cs="Arial"/>
          <w:b/>
          <w:color w:val="000000"/>
          <w:sz w:val="24"/>
          <w:szCs w:val="24"/>
        </w:rPr>
        <w:t>.</w:t>
      </w:r>
    </w:p>
    <w:p w14:paraId="106119C4" w14:textId="77777777" w:rsidR="00962129" w:rsidRDefault="00962129" w:rsidP="00962129">
      <w:pPr>
        <w:shd w:val="clear" w:color="auto" w:fill="FFFFFF"/>
        <w:rPr>
          <w:rFonts w:ascii="Arial" w:hAnsi="Arial" w:cs="Arial"/>
          <w:color w:val="000000"/>
          <w:sz w:val="24"/>
          <w:szCs w:val="24"/>
        </w:rPr>
      </w:pPr>
      <w:r>
        <w:rPr>
          <w:rFonts w:ascii="Arial" w:hAnsi="Arial" w:cs="Arial"/>
          <w:color w:val="000000"/>
          <w:sz w:val="24"/>
          <w:szCs w:val="24"/>
        </w:rPr>
        <w:t xml:space="preserve">Přijaté </w:t>
      </w:r>
      <w:proofErr w:type="gramStart"/>
      <w:r>
        <w:rPr>
          <w:rFonts w:ascii="Arial" w:hAnsi="Arial" w:cs="Arial"/>
          <w:color w:val="000000"/>
          <w:sz w:val="24"/>
          <w:szCs w:val="24"/>
        </w:rPr>
        <w:t>podněty  1855</w:t>
      </w:r>
      <w:proofErr w:type="gramEnd"/>
    </w:p>
    <w:p w14:paraId="7826243B" w14:textId="77777777" w:rsidR="00962129" w:rsidRDefault="00962129" w:rsidP="00962129">
      <w:pPr>
        <w:shd w:val="clear" w:color="auto" w:fill="FFFFFF"/>
        <w:rPr>
          <w:rFonts w:ascii="Arial" w:hAnsi="Arial" w:cs="Arial"/>
          <w:color w:val="000000"/>
          <w:sz w:val="24"/>
          <w:szCs w:val="24"/>
        </w:rPr>
      </w:pPr>
      <w:r>
        <w:rPr>
          <w:rFonts w:ascii="Arial" w:hAnsi="Arial" w:cs="Arial"/>
          <w:color w:val="000000"/>
          <w:sz w:val="24"/>
          <w:szCs w:val="24"/>
        </w:rPr>
        <w:t>Upozornění správců na možné porušení 452</w:t>
      </w:r>
    </w:p>
    <w:p w14:paraId="6A48D5D4" w14:textId="77777777" w:rsidR="00962129" w:rsidRDefault="00962129" w:rsidP="00962129">
      <w:pPr>
        <w:shd w:val="clear" w:color="auto" w:fill="FFFFFF"/>
        <w:rPr>
          <w:rFonts w:ascii="Arial" w:hAnsi="Arial" w:cs="Arial"/>
          <w:color w:val="000000"/>
          <w:sz w:val="24"/>
          <w:szCs w:val="24"/>
        </w:rPr>
      </w:pPr>
      <w:r>
        <w:rPr>
          <w:rFonts w:ascii="Arial" w:hAnsi="Arial" w:cs="Arial"/>
          <w:color w:val="000000"/>
          <w:sz w:val="24"/>
          <w:szCs w:val="24"/>
        </w:rPr>
        <w:t xml:space="preserve">Předáno ke </w:t>
      </w:r>
      <w:proofErr w:type="gramStart"/>
      <w:r>
        <w:rPr>
          <w:rFonts w:ascii="Arial" w:hAnsi="Arial" w:cs="Arial"/>
          <w:color w:val="000000"/>
          <w:sz w:val="24"/>
          <w:szCs w:val="24"/>
        </w:rPr>
        <w:t>kontrole  125</w:t>
      </w:r>
      <w:proofErr w:type="gramEnd"/>
    </w:p>
    <w:p w14:paraId="07402386" w14:textId="77777777" w:rsidR="00962129" w:rsidRDefault="00962129" w:rsidP="00962129">
      <w:pPr>
        <w:shd w:val="clear" w:color="auto" w:fill="FFFFFF"/>
        <w:rPr>
          <w:rFonts w:ascii="Arial" w:hAnsi="Arial" w:cs="Arial"/>
          <w:color w:val="000000"/>
          <w:sz w:val="24"/>
          <w:szCs w:val="24"/>
        </w:rPr>
      </w:pPr>
      <w:r>
        <w:rPr>
          <w:rFonts w:ascii="Arial" w:hAnsi="Arial" w:cs="Arial"/>
          <w:color w:val="000000"/>
          <w:sz w:val="24"/>
          <w:szCs w:val="24"/>
        </w:rPr>
        <w:t>Porušení zabezpečení osobních údajů 292</w:t>
      </w:r>
    </w:p>
    <w:p w14:paraId="429F88AC" w14:textId="77777777" w:rsidR="00962129" w:rsidRDefault="00962129" w:rsidP="00962129">
      <w:pPr>
        <w:shd w:val="clear" w:color="auto" w:fill="FFFFFF"/>
        <w:rPr>
          <w:rFonts w:ascii="Arial" w:hAnsi="Arial" w:cs="Arial"/>
          <w:color w:val="000000"/>
          <w:sz w:val="24"/>
          <w:szCs w:val="24"/>
        </w:rPr>
      </w:pPr>
      <w:r>
        <w:rPr>
          <w:rFonts w:ascii="Arial" w:hAnsi="Arial" w:cs="Arial"/>
          <w:color w:val="000000"/>
          <w:sz w:val="24"/>
          <w:szCs w:val="24"/>
        </w:rPr>
        <w:t>Poskytnutí orgánům v trestním řízení 14</w:t>
      </w:r>
    </w:p>
    <w:p w14:paraId="7D4B02C6" w14:textId="77777777" w:rsidR="00962129" w:rsidRDefault="00962129" w:rsidP="00962129">
      <w:pPr>
        <w:shd w:val="clear" w:color="auto" w:fill="FFFFFF"/>
        <w:rPr>
          <w:rFonts w:ascii="Arial" w:hAnsi="Arial" w:cs="Arial"/>
          <w:color w:val="000000"/>
          <w:sz w:val="24"/>
          <w:szCs w:val="24"/>
        </w:rPr>
      </w:pPr>
    </w:p>
    <w:p w14:paraId="41B67365" w14:textId="77777777" w:rsidR="00962129" w:rsidRPr="003D3720" w:rsidRDefault="00962129" w:rsidP="00962129">
      <w:pPr>
        <w:shd w:val="clear" w:color="auto" w:fill="FFFFFF"/>
        <w:rPr>
          <w:rFonts w:ascii="Arial" w:hAnsi="Arial" w:cs="Arial"/>
          <w:b/>
          <w:bCs/>
          <w:color w:val="000000"/>
          <w:sz w:val="24"/>
          <w:szCs w:val="24"/>
        </w:rPr>
      </w:pPr>
      <w:r w:rsidRPr="003D3720">
        <w:rPr>
          <w:rFonts w:ascii="Arial" w:hAnsi="Arial" w:cs="Arial"/>
          <w:b/>
          <w:bCs/>
          <w:color w:val="000000"/>
          <w:sz w:val="24"/>
          <w:szCs w:val="24"/>
        </w:rPr>
        <w:t>Lidé si stěžují nejvíce:</w:t>
      </w:r>
    </w:p>
    <w:p w14:paraId="0F75C123" w14:textId="77777777" w:rsidR="00962129" w:rsidRDefault="00962129" w:rsidP="00962129">
      <w:pPr>
        <w:shd w:val="clear" w:color="auto" w:fill="FFFFFF"/>
        <w:rPr>
          <w:rFonts w:ascii="Arial" w:hAnsi="Arial" w:cs="Arial"/>
          <w:color w:val="000000"/>
          <w:sz w:val="24"/>
          <w:szCs w:val="24"/>
        </w:rPr>
      </w:pPr>
      <w:r>
        <w:rPr>
          <w:rFonts w:ascii="Arial" w:hAnsi="Arial" w:cs="Arial"/>
          <w:color w:val="000000"/>
          <w:sz w:val="24"/>
          <w:szCs w:val="24"/>
        </w:rPr>
        <w:t>29</w:t>
      </w:r>
      <w:proofErr w:type="gramStart"/>
      <w:r>
        <w:rPr>
          <w:rFonts w:ascii="Arial" w:hAnsi="Arial" w:cs="Arial"/>
          <w:color w:val="000000"/>
          <w:sz w:val="24"/>
          <w:szCs w:val="24"/>
        </w:rPr>
        <w:t>%  -</w:t>
      </w:r>
      <w:proofErr w:type="gramEnd"/>
      <w:r>
        <w:rPr>
          <w:rFonts w:ascii="Arial" w:hAnsi="Arial" w:cs="Arial"/>
          <w:color w:val="000000"/>
          <w:sz w:val="24"/>
          <w:szCs w:val="24"/>
        </w:rPr>
        <w:t xml:space="preserve"> obchodní sdělení a telemarketing</w:t>
      </w:r>
    </w:p>
    <w:p w14:paraId="337F0E38" w14:textId="77777777" w:rsidR="00962129" w:rsidRDefault="00962129" w:rsidP="00962129">
      <w:pPr>
        <w:shd w:val="clear" w:color="auto" w:fill="FFFFFF"/>
        <w:rPr>
          <w:rFonts w:ascii="Arial" w:hAnsi="Arial" w:cs="Arial"/>
          <w:color w:val="000000"/>
          <w:sz w:val="24"/>
          <w:szCs w:val="24"/>
        </w:rPr>
      </w:pPr>
      <w:r>
        <w:rPr>
          <w:rFonts w:ascii="Arial" w:hAnsi="Arial" w:cs="Arial"/>
          <w:color w:val="000000"/>
          <w:sz w:val="24"/>
          <w:szCs w:val="24"/>
        </w:rPr>
        <w:t>22</w:t>
      </w:r>
      <w:proofErr w:type="gramStart"/>
      <w:r>
        <w:rPr>
          <w:rFonts w:ascii="Arial" w:hAnsi="Arial" w:cs="Arial"/>
          <w:color w:val="000000"/>
          <w:sz w:val="24"/>
          <w:szCs w:val="24"/>
        </w:rPr>
        <w:t>%  -</w:t>
      </w:r>
      <w:proofErr w:type="gramEnd"/>
      <w:r>
        <w:rPr>
          <w:rFonts w:ascii="Arial" w:hAnsi="Arial" w:cs="Arial"/>
          <w:color w:val="000000"/>
          <w:sz w:val="24"/>
          <w:szCs w:val="24"/>
        </w:rPr>
        <w:t xml:space="preserve"> zveřejnění osobních údajů</w:t>
      </w:r>
    </w:p>
    <w:p w14:paraId="2C513E28" w14:textId="77777777" w:rsidR="00962129" w:rsidRDefault="00962129" w:rsidP="00962129">
      <w:pPr>
        <w:shd w:val="clear" w:color="auto" w:fill="FFFFFF"/>
        <w:rPr>
          <w:rFonts w:ascii="Arial" w:hAnsi="Arial" w:cs="Arial"/>
          <w:color w:val="000000"/>
          <w:sz w:val="24"/>
          <w:szCs w:val="24"/>
        </w:rPr>
      </w:pPr>
      <w:r>
        <w:rPr>
          <w:rFonts w:ascii="Arial" w:hAnsi="Arial" w:cs="Arial"/>
          <w:color w:val="000000"/>
          <w:sz w:val="24"/>
          <w:szCs w:val="24"/>
        </w:rPr>
        <w:t>13</w:t>
      </w:r>
      <w:proofErr w:type="gramStart"/>
      <w:r>
        <w:rPr>
          <w:rFonts w:ascii="Arial" w:hAnsi="Arial" w:cs="Arial"/>
          <w:color w:val="000000"/>
          <w:sz w:val="24"/>
          <w:szCs w:val="24"/>
        </w:rPr>
        <w:t>%  -</w:t>
      </w:r>
      <w:proofErr w:type="gramEnd"/>
      <w:r>
        <w:rPr>
          <w:rFonts w:ascii="Arial" w:hAnsi="Arial" w:cs="Arial"/>
          <w:color w:val="000000"/>
          <w:sz w:val="24"/>
          <w:szCs w:val="24"/>
        </w:rPr>
        <w:t xml:space="preserve"> kamerové systémy</w:t>
      </w:r>
    </w:p>
    <w:p w14:paraId="43CA46C5" w14:textId="77777777" w:rsidR="00962129" w:rsidRDefault="00962129" w:rsidP="00962129">
      <w:pPr>
        <w:shd w:val="clear" w:color="auto" w:fill="FFFFFF"/>
        <w:rPr>
          <w:rFonts w:ascii="Arial" w:hAnsi="Arial" w:cs="Arial"/>
          <w:color w:val="000000"/>
          <w:sz w:val="24"/>
          <w:szCs w:val="24"/>
        </w:rPr>
      </w:pPr>
    </w:p>
    <w:p w14:paraId="4209BCEC" w14:textId="77777777" w:rsidR="00962129" w:rsidRPr="00D31C53" w:rsidRDefault="00962129" w:rsidP="00962129">
      <w:pPr>
        <w:rPr>
          <w:rFonts w:ascii="Arial" w:hAnsi="Arial" w:cs="Arial"/>
          <w:sz w:val="24"/>
          <w:szCs w:val="24"/>
        </w:rPr>
      </w:pPr>
      <w:r w:rsidRPr="00D31C53">
        <w:rPr>
          <w:rFonts w:ascii="Arial" w:hAnsi="Arial" w:cs="Arial"/>
          <w:sz w:val="24"/>
          <w:szCs w:val="24"/>
        </w:rPr>
        <w:t xml:space="preserve">Úřad pro ochranu osobních </w:t>
      </w:r>
      <w:proofErr w:type="gramStart"/>
      <w:r w:rsidRPr="00D31C53">
        <w:rPr>
          <w:rFonts w:ascii="Arial" w:hAnsi="Arial" w:cs="Arial"/>
          <w:sz w:val="24"/>
          <w:szCs w:val="24"/>
        </w:rPr>
        <w:t>údajů  v</w:t>
      </w:r>
      <w:proofErr w:type="gramEnd"/>
      <w:r w:rsidRPr="00D31C53">
        <w:rPr>
          <w:rFonts w:ascii="Arial" w:hAnsi="Arial" w:cs="Arial"/>
          <w:sz w:val="24"/>
          <w:szCs w:val="24"/>
        </w:rPr>
        <w:t xml:space="preserve"> roce 2020 </w:t>
      </w:r>
      <w:r w:rsidRPr="00D31C53">
        <w:rPr>
          <w:rFonts w:ascii="Arial" w:hAnsi="Arial" w:cs="Arial"/>
          <w:b/>
          <w:bCs/>
          <w:sz w:val="24"/>
          <w:szCs w:val="24"/>
        </w:rPr>
        <w:t>1855 podnětů a stížností</w:t>
      </w:r>
      <w:r w:rsidRPr="00D31C53">
        <w:rPr>
          <w:rFonts w:ascii="Arial" w:hAnsi="Arial" w:cs="Arial"/>
          <w:sz w:val="24"/>
          <w:szCs w:val="24"/>
        </w:rPr>
        <w:t xml:space="preserve">. I přes probíhající pandemii </w:t>
      </w:r>
      <w:proofErr w:type="spellStart"/>
      <w:r w:rsidRPr="00D31C53">
        <w:rPr>
          <w:rFonts w:ascii="Arial" w:hAnsi="Arial" w:cs="Arial"/>
          <w:sz w:val="24"/>
          <w:szCs w:val="24"/>
        </w:rPr>
        <w:t>koronaviru</w:t>
      </w:r>
      <w:proofErr w:type="spellEnd"/>
      <w:r w:rsidRPr="00D31C53">
        <w:rPr>
          <w:rFonts w:ascii="Arial" w:hAnsi="Arial" w:cs="Arial"/>
          <w:sz w:val="24"/>
          <w:szCs w:val="24"/>
        </w:rPr>
        <w:t xml:space="preserve"> COVID-19 tak došlo, v porovnání s předchozím rokem (2482 doručených stížností a podnětů) pouze k mírnému poklesu.</w:t>
      </w:r>
    </w:p>
    <w:p w14:paraId="0AA17CE9" w14:textId="77777777" w:rsidR="00962129" w:rsidRPr="00D31C53" w:rsidRDefault="00962129" w:rsidP="00962129">
      <w:pPr>
        <w:rPr>
          <w:rFonts w:ascii="Arial" w:hAnsi="Arial" w:cs="Arial"/>
          <w:sz w:val="24"/>
          <w:szCs w:val="24"/>
        </w:rPr>
      </w:pPr>
      <w:r w:rsidRPr="00D31C53">
        <w:rPr>
          <w:rFonts w:ascii="Arial" w:hAnsi="Arial" w:cs="Arial"/>
          <w:sz w:val="24"/>
          <w:szCs w:val="24"/>
        </w:rPr>
        <w:t xml:space="preserve"> Postup Ministerstva zdravotnictví při zasílání informace o možnosti nainstalovat si na chytré telefony </w:t>
      </w:r>
      <w:r w:rsidRPr="00D31C53">
        <w:rPr>
          <w:rFonts w:ascii="Arial" w:hAnsi="Arial" w:cs="Arial"/>
          <w:b/>
          <w:bCs/>
          <w:sz w:val="24"/>
          <w:szCs w:val="24"/>
        </w:rPr>
        <w:t xml:space="preserve">aplikaci </w:t>
      </w:r>
      <w:proofErr w:type="spellStart"/>
      <w:r w:rsidRPr="00D31C53">
        <w:rPr>
          <w:rFonts w:ascii="Arial" w:hAnsi="Arial" w:cs="Arial"/>
          <w:b/>
          <w:bCs/>
          <w:sz w:val="24"/>
          <w:szCs w:val="24"/>
        </w:rPr>
        <w:t>eRouška</w:t>
      </w:r>
      <w:proofErr w:type="spellEnd"/>
      <w:r w:rsidRPr="00D31C53">
        <w:rPr>
          <w:rFonts w:ascii="Arial" w:hAnsi="Arial" w:cs="Arial"/>
          <w:sz w:val="24"/>
          <w:szCs w:val="24"/>
        </w:rPr>
        <w:t xml:space="preserve"> s odkazem na webové stránky, na nichž lze nalézt, jak tuto aplikaci nainstalovat, bylo posouzeno jako zpracování osobních údajů, které je nezbytné pro splnění úkolu prováděného ve veřejném zájmu, kterým ochrana veřejného zdraví a ochrana lidských životů bezesporu je.</w:t>
      </w:r>
    </w:p>
    <w:p w14:paraId="70419B95" w14:textId="77777777" w:rsidR="00962129" w:rsidRPr="00D31C53" w:rsidRDefault="00962129" w:rsidP="00962129">
      <w:pPr>
        <w:rPr>
          <w:rFonts w:ascii="Arial" w:hAnsi="Arial" w:cs="Arial"/>
          <w:sz w:val="24"/>
          <w:szCs w:val="24"/>
        </w:rPr>
      </w:pPr>
      <w:r w:rsidRPr="00D31C53">
        <w:rPr>
          <w:rFonts w:ascii="Arial" w:hAnsi="Arial" w:cs="Arial"/>
          <w:sz w:val="24"/>
          <w:szCs w:val="24"/>
        </w:rPr>
        <w:t xml:space="preserve">  Z těch podnětů a stížností týkajících se </w:t>
      </w:r>
      <w:r w:rsidRPr="00D31C53">
        <w:rPr>
          <w:rFonts w:ascii="Arial" w:hAnsi="Arial" w:cs="Arial"/>
          <w:b/>
          <w:bCs/>
          <w:sz w:val="24"/>
          <w:szCs w:val="24"/>
        </w:rPr>
        <w:t>epidemie COVID-19</w:t>
      </w:r>
      <w:r w:rsidRPr="00D31C53">
        <w:rPr>
          <w:rFonts w:ascii="Arial" w:hAnsi="Arial" w:cs="Arial"/>
          <w:sz w:val="24"/>
          <w:szCs w:val="24"/>
        </w:rPr>
        <w:t xml:space="preserve">, které Úřad seznal jako důvodné a dále se jimi aktuálně zabývá, ať již v rámci kontroly nebo před kontrolních opatření, lze zmínit podněty, které se týkaly aplikace, používající lokační údaje a nástroje k vysledování kontaktů nakažených osob, a dále stížnosti, v nichž podatelé namítali rozsah osobních údajů, k jejichž poskytnutí byli nuceni již ve fázi registrace k testování na COVID-19, popřípadě kdy podatel dokládá vynucování souhlasu se zpracováním údajů o zdravotním stavu, kdy takový souhlas nelze považovat za svobodný. </w:t>
      </w:r>
    </w:p>
    <w:p w14:paraId="067E4F6C" w14:textId="77777777" w:rsidR="0040185D" w:rsidRDefault="00962129" w:rsidP="00962129">
      <w:pPr>
        <w:rPr>
          <w:rFonts w:ascii="Arial" w:hAnsi="Arial" w:cs="Arial"/>
          <w:sz w:val="24"/>
          <w:szCs w:val="24"/>
        </w:rPr>
      </w:pPr>
      <w:r w:rsidRPr="00D31C53">
        <w:rPr>
          <w:rFonts w:ascii="Arial" w:hAnsi="Arial" w:cs="Arial"/>
          <w:sz w:val="24"/>
          <w:szCs w:val="24"/>
        </w:rPr>
        <w:t xml:space="preserve"> S tím, jak se život v roce 2020 v mnoha ohledech přesunul do online prostředí, narostla četnost stížností, v nichž podatelé upozorňovali na zpracování osobních údajů prostřednictvím </w:t>
      </w:r>
      <w:r w:rsidRPr="00D31C53">
        <w:rPr>
          <w:rFonts w:ascii="Arial" w:hAnsi="Arial" w:cs="Arial"/>
          <w:b/>
          <w:bCs/>
          <w:sz w:val="24"/>
          <w:szCs w:val="24"/>
        </w:rPr>
        <w:t>tzv. cookies.</w:t>
      </w:r>
      <w:r w:rsidRPr="00D31C53">
        <w:rPr>
          <w:rFonts w:ascii="Arial" w:hAnsi="Arial" w:cs="Arial"/>
          <w:sz w:val="24"/>
          <w:szCs w:val="24"/>
        </w:rPr>
        <w:t xml:space="preserve"> Ty slouží pro zvláštní, především marketingové účely a nelze je považovat za tzv. technické cookies (potřebné např. pro správné zobrazení webové stránky). Úřad se v této souvislosti zabýval řadou podnětů a stížností, v nichž správce dotčené osoby nedostatečně nebo netransparentně informoval o zpracování osobních údajů prostřednictvím cookies, případně uživateli </w:t>
      </w:r>
    </w:p>
    <w:p w14:paraId="13707FB6" w14:textId="77777777" w:rsidR="0040185D" w:rsidRDefault="0040185D" w:rsidP="00962129">
      <w:pPr>
        <w:rPr>
          <w:rFonts w:ascii="Arial" w:hAnsi="Arial" w:cs="Arial"/>
          <w:sz w:val="24"/>
          <w:szCs w:val="24"/>
        </w:rPr>
      </w:pPr>
    </w:p>
    <w:p w14:paraId="7BE39EB0" w14:textId="104DCAFA" w:rsidR="007D4B0D" w:rsidRDefault="00962129" w:rsidP="00962129">
      <w:pPr>
        <w:rPr>
          <w:rFonts w:ascii="Arial" w:hAnsi="Arial" w:cs="Arial"/>
          <w:sz w:val="24"/>
          <w:szCs w:val="24"/>
        </w:rPr>
      </w:pPr>
      <w:r w:rsidRPr="00D31C53">
        <w:rPr>
          <w:rFonts w:ascii="Arial" w:hAnsi="Arial" w:cs="Arial"/>
          <w:sz w:val="24"/>
          <w:szCs w:val="24"/>
        </w:rPr>
        <w:t xml:space="preserve">webové stránky neumožňoval jejich odmítnutí, případně nekalým způsobem získával souhlas s jejich využitím (např. pouhým posunem na webové stránce). </w:t>
      </w:r>
    </w:p>
    <w:p w14:paraId="02A71425" w14:textId="77777777" w:rsidR="007D4B0D" w:rsidRDefault="007D4B0D" w:rsidP="00962129">
      <w:pPr>
        <w:rPr>
          <w:rFonts w:ascii="Arial" w:hAnsi="Arial" w:cs="Arial"/>
          <w:sz w:val="24"/>
          <w:szCs w:val="24"/>
        </w:rPr>
      </w:pPr>
    </w:p>
    <w:p w14:paraId="66DF756B" w14:textId="664BBD39" w:rsidR="00962129" w:rsidRPr="00D31C53" w:rsidRDefault="00962129" w:rsidP="00962129">
      <w:pPr>
        <w:rPr>
          <w:rFonts w:ascii="Arial" w:hAnsi="Arial" w:cs="Arial"/>
          <w:sz w:val="24"/>
          <w:szCs w:val="24"/>
        </w:rPr>
      </w:pPr>
      <w:r w:rsidRPr="00D31C53">
        <w:rPr>
          <w:rFonts w:ascii="Arial" w:hAnsi="Arial" w:cs="Arial"/>
          <w:sz w:val="24"/>
          <w:szCs w:val="24"/>
        </w:rPr>
        <w:t xml:space="preserve"> Velká část stížností se týkala nerespektování práv subjektů údajů ze strany některých správců. Ti pokračovali v </w:t>
      </w:r>
      <w:r w:rsidRPr="00D31C53">
        <w:rPr>
          <w:rFonts w:ascii="Arial" w:hAnsi="Arial" w:cs="Arial"/>
          <w:b/>
          <w:bCs/>
          <w:sz w:val="24"/>
          <w:szCs w:val="24"/>
        </w:rPr>
        <w:t>zasílání obchodních sdělení</w:t>
      </w:r>
      <w:r w:rsidRPr="00D31C53">
        <w:rPr>
          <w:rFonts w:ascii="Arial" w:hAnsi="Arial" w:cs="Arial"/>
          <w:sz w:val="24"/>
          <w:szCs w:val="24"/>
        </w:rPr>
        <w:t xml:space="preserve"> i poté, co dotčené osoby odvolaly souhlas, uplatnily právo na výmaz nebo vznesly námitku proti zpracování údajů pro marketingové účely. Dále se často jednalo o případy, kdy správce neposkytl subjektu údajů adekvátní informaci o zpracování údajů, případně na podobné žádosti ani nereagoval</w:t>
      </w:r>
    </w:p>
    <w:p w14:paraId="25A883DC" w14:textId="77777777" w:rsidR="00962129" w:rsidRPr="00D31C53" w:rsidRDefault="00962129" w:rsidP="00962129">
      <w:pPr>
        <w:rPr>
          <w:rFonts w:ascii="Arial" w:hAnsi="Arial" w:cs="Arial"/>
          <w:sz w:val="24"/>
          <w:szCs w:val="24"/>
        </w:rPr>
      </w:pPr>
      <w:r w:rsidRPr="00D31C53">
        <w:rPr>
          <w:rFonts w:ascii="Arial" w:hAnsi="Arial" w:cs="Arial"/>
          <w:sz w:val="24"/>
          <w:szCs w:val="24"/>
        </w:rPr>
        <w:t xml:space="preserve">Rok 2020 byl poznamenán i nárůstem potřeby většího zabezpečení internetové sítě v souvislosti se stále více rozšířenou </w:t>
      </w:r>
      <w:r w:rsidRPr="00D31C53">
        <w:rPr>
          <w:rFonts w:ascii="Arial" w:hAnsi="Arial" w:cs="Arial"/>
          <w:b/>
          <w:bCs/>
          <w:sz w:val="24"/>
          <w:szCs w:val="24"/>
        </w:rPr>
        <w:t>prací z domova a distanční výukou</w:t>
      </w:r>
      <w:r w:rsidRPr="00D31C53">
        <w:rPr>
          <w:rFonts w:ascii="Arial" w:hAnsi="Arial" w:cs="Arial"/>
          <w:sz w:val="24"/>
          <w:szCs w:val="24"/>
        </w:rPr>
        <w:t>. V tomto ohledu je třeba zmínit obdržené ohlášení z oblasti školství, kdy bylo v rámci online výuky nedostatečně ošetřeno soukromí třídy, čehož využil žák jiné třídy a část výuky uveřejnil na sociální síti.</w:t>
      </w:r>
    </w:p>
    <w:p w14:paraId="4CD744F2" w14:textId="77777777" w:rsidR="00962129" w:rsidRPr="00D31C53" w:rsidRDefault="00962129" w:rsidP="00962129">
      <w:pPr>
        <w:rPr>
          <w:rFonts w:ascii="Arial" w:hAnsi="Arial" w:cs="Arial"/>
          <w:sz w:val="24"/>
          <w:szCs w:val="24"/>
        </w:rPr>
      </w:pPr>
    </w:p>
    <w:p w14:paraId="797CD054" w14:textId="77777777" w:rsidR="00962129" w:rsidRPr="00D31C53" w:rsidRDefault="00962129" w:rsidP="00962129">
      <w:pPr>
        <w:rPr>
          <w:rFonts w:ascii="Arial" w:hAnsi="Arial" w:cs="Arial"/>
          <w:sz w:val="24"/>
          <w:szCs w:val="24"/>
        </w:rPr>
      </w:pPr>
      <w:r w:rsidRPr="00D31C53">
        <w:rPr>
          <w:rFonts w:ascii="Arial" w:hAnsi="Arial" w:cs="Arial"/>
          <w:sz w:val="24"/>
          <w:szCs w:val="24"/>
        </w:rPr>
        <w:t>Zdroj: Výroční zpráva ÚOOÚ</w:t>
      </w:r>
    </w:p>
    <w:p w14:paraId="44510D3E" w14:textId="77777777" w:rsidR="00962129" w:rsidRPr="00D31C53" w:rsidRDefault="00962129" w:rsidP="00962129">
      <w:pPr>
        <w:rPr>
          <w:rFonts w:ascii="Arial" w:hAnsi="Arial" w:cs="Arial"/>
          <w:sz w:val="24"/>
          <w:szCs w:val="24"/>
        </w:rPr>
      </w:pPr>
      <w:r w:rsidRPr="00D31C53">
        <w:rPr>
          <w:rFonts w:ascii="Arial" w:hAnsi="Arial" w:cs="Arial"/>
          <w:sz w:val="24"/>
          <w:szCs w:val="24"/>
        </w:rPr>
        <w:t xml:space="preserve"> </w:t>
      </w:r>
    </w:p>
    <w:p w14:paraId="7475DE8F" w14:textId="77777777" w:rsidR="00962129" w:rsidRPr="00D31C53" w:rsidRDefault="00962129" w:rsidP="00962129">
      <w:pPr>
        <w:shd w:val="clear" w:color="auto" w:fill="FFFFFF"/>
        <w:rPr>
          <w:rFonts w:ascii="Arial" w:hAnsi="Arial" w:cs="Arial"/>
          <w:color w:val="000000"/>
          <w:sz w:val="24"/>
          <w:szCs w:val="24"/>
        </w:rPr>
      </w:pPr>
    </w:p>
    <w:p w14:paraId="1BA7D43E" w14:textId="77777777" w:rsidR="00290465" w:rsidRDefault="00290465">
      <w:pPr>
        <w:pStyle w:val="Standard"/>
      </w:pPr>
    </w:p>
    <w:sectPr w:rsidR="00290465">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5356F" w14:textId="77777777" w:rsidR="00ED67D5" w:rsidRDefault="00ED67D5">
      <w:pPr>
        <w:spacing w:after="0" w:line="240" w:lineRule="auto"/>
      </w:pPr>
      <w:r>
        <w:separator/>
      </w:r>
    </w:p>
  </w:endnote>
  <w:endnote w:type="continuationSeparator" w:id="0">
    <w:p w14:paraId="4E69A822" w14:textId="77777777" w:rsidR="00ED67D5" w:rsidRDefault="00ED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1F348" w14:textId="77777777" w:rsidR="00ED67D5" w:rsidRDefault="00ED67D5">
      <w:pPr>
        <w:spacing w:after="0" w:line="240" w:lineRule="auto"/>
      </w:pPr>
      <w:r>
        <w:rPr>
          <w:color w:val="000000"/>
        </w:rPr>
        <w:separator/>
      </w:r>
    </w:p>
  </w:footnote>
  <w:footnote w:type="continuationSeparator" w:id="0">
    <w:p w14:paraId="0515D66A" w14:textId="77777777" w:rsidR="00ED67D5" w:rsidRDefault="00ED67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E7D6A"/>
    <w:multiLevelType w:val="multilevel"/>
    <w:tmpl w:val="520C15E8"/>
    <w:lvl w:ilvl="0">
      <w:start w:val="1"/>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578E2E75"/>
    <w:multiLevelType w:val="multilevel"/>
    <w:tmpl w:val="E82EAA1E"/>
    <w:lvl w:ilvl="0">
      <w:start w:val="2"/>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5CA1692F"/>
    <w:multiLevelType w:val="multilevel"/>
    <w:tmpl w:val="FE803406"/>
    <w:lvl w:ilvl="0">
      <w:start w:val="3"/>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2B2"/>
    <w:rsid w:val="00090FF5"/>
    <w:rsid w:val="00097457"/>
    <w:rsid w:val="000A070D"/>
    <w:rsid w:val="000B0893"/>
    <w:rsid w:val="000C5B3F"/>
    <w:rsid w:val="000D08E1"/>
    <w:rsid w:val="000E6705"/>
    <w:rsid w:val="000F19F4"/>
    <w:rsid w:val="000F2347"/>
    <w:rsid w:val="00132004"/>
    <w:rsid w:val="00155294"/>
    <w:rsid w:val="001B567D"/>
    <w:rsid w:val="001C3CEE"/>
    <w:rsid w:val="00232B5C"/>
    <w:rsid w:val="00251A29"/>
    <w:rsid w:val="00290465"/>
    <w:rsid w:val="00361B7B"/>
    <w:rsid w:val="003621ED"/>
    <w:rsid w:val="00364686"/>
    <w:rsid w:val="00396958"/>
    <w:rsid w:val="003D0707"/>
    <w:rsid w:val="003F1CA5"/>
    <w:rsid w:val="003F61A6"/>
    <w:rsid w:val="0040185D"/>
    <w:rsid w:val="004364CD"/>
    <w:rsid w:val="00454943"/>
    <w:rsid w:val="00465188"/>
    <w:rsid w:val="004678D7"/>
    <w:rsid w:val="00502534"/>
    <w:rsid w:val="00511CE7"/>
    <w:rsid w:val="00516A35"/>
    <w:rsid w:val="005331ED"/>
    <w:rsid w:val="00533EBA"/>
    <w:rsid w:val="0058776B"/>
    <w:rsid w:val="005A0DAF"/>
    <w:rsid w:val="005C1509"/>
    <w:rsid w:val="005C72C6"/>
    <w:rsid w:val="00620195"/>
    <w:rsid w:val="006326C1"/>
    <w:rsid w:val="006428EA"/>
    <w:rsid w:val="006600A7"/>
    <w:rsid w:val="00660107"/>
    <w:rsid w:val="00682EBF"/>
    <w:rsid w:val="006835A1"/>
    <w:rsid w:val="006A164F"/>
    <w:rsid w:val="006C4697"/>
    <w:rsid w:val="006D0EA9"/>
    <w:rsid w:val="006E4F76"/>
    <w:rsid w:val="006E527E"/>
    <w:rsid w:val="00745C15"/>
    <w:rsid w:val="0076163A"/>
    <w:rsid w:val="00764D1F"/>
    <w:rsid w:val="007D4B0D"/>
    <w:rsid w:val="007E51A9"/>
    <w:rsid w:val="00811181"/>
    <w:rsid w:val="008362AE"/>
    <w:rsid w:val="00854038"/>
    <w:rsid w:val="008558B8"/>
    <w:rsid w:val="0086210D"/>
    <w:rsid w:val="00872E06"/>
    <w:rsid w:val="00896149"/>
    <w:rsid w:val="008E09AE"/>
    <w:rsid w:val="008E32B2"/>
    <w:rsid w:val="008E44EF"/>
    <w:rsid w:val="008E7876"/>
    <w:rsid w:val="00902D6E"/>
    <w:rsid w:val="00904872"/>
    <w:rsid w:val="00962129"/>
    <w:rsid w:val="00964630"/>
    <w:rsid w:val="00974F9F"/>
    <w:rsid w:val="009B6B05"/>
    <w:rsid w:val="009D0E88"/>
    <w:rsid w:val="00A52923"/>
    <w:rsid w:val="00A76819"/>
    <w:rsid w:val="00AB19AB"/>
    <w:rsid w:val="00AE6930"/>
    <w:rsid w:val="00B112D1"/>
    <w:rsid w:val="00B52ADC"/>
    <w:rsid w:val="00B5308D"/>
    <w:rsid w:val="00B65052"/>
    <w:rsid w:val="00C12C79"/>
    <w:rsid w:val="00C24F06"/>
    <w:rsid w:val="00C33A90"/>
    <w:rsid w:val="00C436CB"/>
    <w:rsid w:val="00C44F1E"/>
    <w:rsid w:val="00C742B3"/>
    <w:rsid w:val="00C82A40"/>
    <w:rsid w:val="00CB3B3B"/>
    <w:rsid w:val="00CB5E86"/>
    <w:rsid w:val="00D05433"/>
    <w:rsid w:val="00D06EA0"/>
    <w:rsid w:val="00D1183F"/>
    <w:rsid w:val="00D50318"/>
    <w:rsid w:val="00D7170A"/>
    <w:rsid w:val="00D742CD"/>
    <w:rsid w:val="00D83C64"/>
    <w:rsid w:val="00DB3CCE"/>
    <w:rsid w:val="00DC35F6"/>
    <w:rsid w:val="00DD7312"/>
    <w:rsid w:val="00E143EA"/>
    <w:rsid w:val="00E306A3"/>
    <w:rsid w:val="00E34DDF"/>
    <w:rsid w:val="00E82C21"/>
    <w:rsid w:val="00EA1C51"/>
    <w:rsid w:val="00ED66F5"/>
    <w:rsid w:val="00ED67D5"/>
    <w:rsid w:val="00ED78E0"/>
    <w:rsid w:val="00F066C5"/>
    <w:rsid w:val="00F16B9D"/>
    <w:rsid w:val="00F213E7"/>
    <w:rsid w:val="00F23434"/>
    <w:rsid w:val="00F4153B"/>
    <w:rsid w:val="00F51949"/>
    <w:rsid w:val="00FA0954"/>
    <w:rsid w:val="00FA1D1A"/>
    <w:rsid w:val="00FD27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F7014"/>
  <w15:docId w15:val="{B343A3DE-54ED-45B8-B9FA-C0581A970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ahoma"/>
        <w:kern w:val="3"/>
        <w:sz w:val="22"/>
        <w:szCs w:val="22"/>
        <w:lang w:val="cs-CZ"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Standard"/>
    <w:next w:val="Textbody"/>
    <w:uiPriority w:val="9"/>
    <w:qFormat/>
    <w:pPr>
      <w:keepNext/>
      <w:outlineLvl w:val="0"/>
    </w:pPr>
    <w:rPr>
      <w:rFonts w:ascii="Arial" w:hAnsi="Arial"/>
      <w:b/>
      <w:bCs/>
      <w:color w:val="4A442A"/>
      <w:szCs w:val="32"/>
    </w:rPr>
  </w:style>
  <w:style w:type="paragraph" w:styleId="Nadpis2">
    <w:name w:val="heading 2"/>
    <w:basedOn w:val="Normln"/>
    <w:next w:val="Normln"/>
    <w:link w:val="Nadpis2Char"/>
    <w:uiPriority w:val="9"/>
    <w:semiHidden/>
    <w:unhideWhenUsed/>
    <w:qFormat/>
    <w:rsid w:val="00F213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F213E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pacing w:after="0" w:line="240" w:lineRule="auto"/>
    </w:pPr>
    <w:rPr>
      <w:rFonts w:ascii="Times New Roman" w:eastAsia="Times New Roman" w:hAnsi="Times New Roman" w:cs="Times New Roman"/>
      <w:sz w:val="24"/>
      <w:szCs w:val="24"/>
      <w:lang w:eastAsia="cs-CZ"/>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Textpoznpodarou">
    <w:name w:val="footnote text"/>
    <w:basedOn w:val="Standard"/>
    <w:rPr>
      <w:rFonts w:ascii="Calibri" w:eastAsia="Calibri" w:hAnsi="Calibri"/>
      <w:sz w:val="20"/>
      <w:szCs w:val="20"/>
      <w:lang w:eastAsia="en-US"/>
    </w:rPr>
  </w:style>
  <w:style w:type="paragraph" w:customStyle="1" w:styleId="TableContents">
    <w:name w:val="Table Contents"/>
    <w:basedOn w:val="Standard"/>
    <w:pPr>
      <w:suppressLineNumbers/>
    </w:pPr>
  </w:style>
  <w:style w:type="character" w:customStyle="1" w:styleId="Nadpis1Char">
    <w:name w:val="Nadpis 1 Char"/>
    <w:basedOn w:val="Standardnpsmoodstavce"/>
    <w:rPr>
      <w:rFonts w:ascii="Arial" w:eastAsia="Times New Roman" w:hAnsi="Arial" w:cs="Times New Roman"/>
      <w:b/>
      <w:bCs/>
      <w:color w:val="4A442A"/>
      <w:kern w:val="3"/>
      <w:sz w:val="24"/>
      <w:szCs w:val="32"/>
      <w:lang w:eastAsia="cs-CZ"/>
    </w:rPr>
  </w:style>
  <w:style w:type="character" w:customStyle="1" w:styleId="TextpoznpodarouChar">
    <w:name w:val="Text pozn. pod čarou Char"/>
    <w:basedOn w:val="Standardnpsmoodstavce"/>
    <w:rPr>
      <w:rFonts w:ascii="Calibri" w:eastAsia="Calibri" w:hAnsi="Calibri" w:cs="Times New Roman"/>
      <w:sz w:val="20"/>
      <w:szCs w:val="20"/>
    </w:rPr>
  </w:style>
  <w:style w:type="character" w:styleId="Znakapoznpodarou">
    <w:name w:val="footnote reference"/>
    <w:rPr>
      <w:position w:val="0"/>
      <w:vertAlign w:val="superscript"/>
    </w:rPr>
  </w:style>
  <w:style w:type="character" w:customStyle="1" w:styleId="Internetlink">
    <w:name w:val="Internet link"/>
    <w:rPr>
      <w:color w:val="000080"/>
      <w:u w:val="single"/>
    </w:rPr>
  </w:style>
  <w:style w:type="character" w:customStyle="1" w:styleId="NumberingSymbols">
    <w:name w:val="Numbering Symbols"/>
  </w:style>
  <w:style w:type="character" w:styleId="Hypertextovodkaz">
    <w:name w:val="Hyperlink"/>
    <w:basedOn w:val="Standardnpsmoodstavce"/>
    <w:uiPriority w:val="99"/>
    <w:unhideWhenUsed/>
    <w:rsid w:val="00097457"/>
    <w:rPr>
      <w:color w:val="0563C1" w:themeColor="hyperlink"/>
      <w:u w:val="single"/>
    </w:rPr>
  </w:style>
  <w:style w:type="character" w:styleId="Nevyeenzmnka">
    <w:name w:val="Unresolved Mention"/>
    <w:basedOn w:val="Standardnpsmoodstavce"/>
    <w:uiPriority w:val="99"/>
    <w:semiHidden/>
    <w:unhideWhenUsed/>
    <w:rsid w:val="00097457"/>
    <w:rPr>
      <w:color w:val="605E5C"/>
      <w:shd w:val="clear" w:color="auto" w:fill="E1DFDD"/>
    </w:rPr>
  </w:style>
  <w:style w:type="character" w:customStyle="1" w:styleId="Nadpis2Char">
    <w:name w:val="Nadpis 2 Char"/>
    <w:basedOn w:val="Standardnpsmoodstavce"/>
    <w:link w:val="Nadpis2"/>
    <w:uiPriority w:val="9"/>
    <w:semiHidden/>
    <w:rsid w:val="00F213E7"/>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F213E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94207">
      <w:bodyDiv w:val="1"/>
      <w:marLeft w:val="0"/>
      <w:marRight w:val="0"/>
      <w:marTop w:val="0"/>
      <w:marBottom w:val="0"/>
      <w:divBdr>
        <w:top w:val="none" w:sz="0" w:space="0" w:color="auto"/>
        <w:left w:val="none" w:sz="0" w:space="0" w:color="auto"/>
        <w:bottom w:val="none" w:sz="0" w:space="0" w:color="auto"/>
        <w:right w:val="none" w:sz="0" w:space="0" w:color="auto"/>
      </w:divBdr>
      <w:divsChild>
        <w:div w:id="1142499759">
          <w:marLeft w:val="0"/>
          <w:marRight w:val="0"/>
          <w:marTop w:val="0"/>
          <w:marBottom w:val="0"/>
          <w:divBdr>
            <w:top w:val="none" w:sz="0" w:space="0" w:color="auto"/>
            <w:left w:val="none" w:sz="0" w:space="0" w:color="auto"/>
            <w:bottom w:val="none" w:sz="0" w:space="0" w:color="auto"/>
            <w:right w:val="none" w:sz="0" w:space="0" w:color="auto"/>
          </w:divBdr>
        </w:div>
        <w:div w:id="994845535">
          <w:marLeft w:val="0"/>
          <w:marRight w:val="0"/>
          <w:marTop w:val="0"/>
          <w:marBottom w:val="0"/>
          <w:divBdr>
            <w:top w:val="none" w:sz="0" w:space="0" w:color="auto"/>
            <w:left w:val="none" w:sz="0" w:space="0" w:color="auto"/>
            <w:bottom w:val="none" w:sz="0" w:space="0" w:color="auto"/>
            <w:right w:val="none" w:sz="0" w:space="0" w:color="auto"/>
          </w:divBdr>
          <w:divsChild>
            <w:div w:id="781411960">
              <w:marLeft w:val="0"/>
              <w:marRight w:val="0"/>
              <w:marTop w:val="0"/>
              <w:marBottom w:val="0"/>
              <w:divBdr>
                <w:top w:val="none" w:sz="0" w:space="0" w:color="auto"/>
                <w:left w:val="none" w:sz="0" w:space="0" w:color="auto"/>
                <w:bottom w:val="none" w:sz="0" w:space="0" w:color="auto"/>
                <w:right w:val="none" w:sz="0" w:space="0" w:color="auto"/>
              </w:divBdr>
              <w:divsChild>
                <w:div w:id="420375904">
                  <w:marLeft w:val="0"/>
                  <w:marRight w:val="0"/>
                  <w:marTop w:val="0"/>
                  <w:marBottom w:val="0"/>
                  <w:divBdr>
                    <w:top w:val="none" w:sz="0" w:space="0" w:color="auto"/>
                    <w:left w:val="none" w:sz="0" w:space="0" w:color="auto"/>
                    <w:bottom w:val="none" w:sz="0" w:space="0" w:color="auto"/>
                    <w:right w:val="none" w:sz="0" w:space="0" w:color="auto"/>
                  </w:divBdr>
                  <w:divsChild>
                    <w:div w:id="87584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561091">
              <w:marLeft w:val="0"/>
              <w:marRight w:val="0"/>
              <w:marTop w:val="0"/>
              <w:marBottom w:val="0"/>
              <w:divBdr>
                <w:top w:val="none" w:sz="0" w:space="0" w:color="auto"/>
                <w:left w:val="none" w:sz="0" w:space="0" w:color="auto"/>
                <w:bottom w:val="none" w:sz="0" w:space="0" w:color="auto"/>
                <w:right w:val="none" w:sz="0" w:space="0" w:color="auto"/>
              </w:divBdr>
            </w:div>
            <w:div w:id="1414666123">
              <w:marLeft w:val="0"/>
              <w:marRight w:val="0"/>
              <w:marTop w:val="0"/>
              <w:marBottom w:val="0"/>
              <w:divBdr>
                <w:top w:val="none" w:sz="0" w:space="0" w:color="auto"/>
                <w:left w:val="none" w:sz="0" w:space="0" w:color="auto"/>
                <w:bottom w:val="none" w:sz="0" w:space="0" w:color="auto"/>
                <w:right w:val="none" w:sz="0" w:space="0" w:color="auto"/>
              </w:divBdr>
            </w:div>
            <w:div w:id="358317697">
              <w:marLeft w:val="0"/>
              <w:marRight w:val="0"/>
              <w:marTop w:val="225"/>
              <w:marBottom w:val="225"/>
              <w:divBdr>
                <w:top w:val="none" w:sz="0" w:space="0" w:color="auto"/>
                <w:left w:val="none" w:sz="0" w:space="0" w:color="auto"/>
                <w:bottom w:val="none" w:sz="0" w:space="0" w:color="auto"/>
                <w:right w:val="none" w:sz="0" w:space="0" w:color="auto"/>
              </w:divBdr>
              <w:divsChild>
                <w:div w:id="1097096112">
                  <w:marLeft w:val="0"/>
                  <w:marRight w:val="0"/>
                  <w:marTop w:val="0"/>
                  <w:marBottom w:val="0"/>
                  <w:divBdr>
                    <w:top w:val="none" w:sz="0" w:space="0" w:color="auto"/>
                    <w:left w:val="none" w:sz="0" w:space="0" w:color="auto"/>
                    <w:bottom w:val="none" w:sz="0" w:space="0" w:color="auto"/>
                    <w:right w:val="none" w:sz="0" w:space="0" w:color="auto"/>
                  </w:divBdr>
                </w:div>
                <w:div w:id="297802287">
                  <w:marLeft w:val="0"/>
                  <w:marRight w:val="0"/>
                  <w:marTop w:val="0"/>
                  <w:marBottom w:val="0"/>
                  <w:divBdr>
                    <w:top w:val="none" w:sz="0" w:space="0" w:color="auto"/>
                    <w:left w:val="none" w:sz="0" w:space="0" w:color="auto"/>
                    <w:bottom w:val="none" w:sz="0" w:space="0" w:color="auto"/>
                    <w:right w:val="none" w:sz="0" w:space="0" w:color="auto"/>
                  </w:divBdr>
                </w:div>
                <w:div w:id="326253232">
                  <w:marLeft w:val="0"/>
                  <w:marRight w:val="0"/>
                  <w:marTop w:val="0"/>
                  <w:marBottom w:val="0"/>
                  <w:divBdr>
                    <w:top w:val="none" w:sz="0" w:space="0" w:color="auto"/>
                    <w:left w:val="none" w:sz="0" w:space="0" w:color="auto"/>
                    <w:bottom w:val="none" w:sz="0" w:space="0" w:color="auto"/>
                    <w:right w:val="none" w:sz="0" w:space="0" w:color="auto"/>
                  </w:divBdr>
                </w:div>
                <w:div w:id="150682816">
                  <w:marLeft w:val="0"/>
                  <w:marRight w:val="0"/>
                  <w:marTop w:val="0"/>
                  <w:marBottom w:val="0"/>
                  <w:divBdr>
                    <w:top w:val="none" w:sz="0" w:space="0" w:color="auto"/>
                    <w:left w:val="none" w:sz="0" w:space="0" w:color="auto"/>
                    <w:bottom w:val="none" w:sz="0" w:space="0" w:color="auto"/>
                    <w:right w:val="none" w:sz="0" w:space="0" w:color="auto"/>
                  </w:divBdr>
                </w:div>
                <w:div w:id="800611417">
                  <w:marLeft w:val="0"/>
                  <w:marRight w:val="0"/>
                  <w:marTop w:val="0"/>
                  <w:marBottom w:val="0"/>
                  <w:divBdr>
                    <w:top w:val="none" w:sz="0" w:space="0" w:color="auto"/>
                    <w:left w:val="none" w:sz="0" w:space="0" w:color="auto"/>
                    <w:bottom w:val="none" w:sz="0" w:space="0" w:color="auto"/>
                    <w:right w:val="none" w:sz="0" w:space="0" w:color="auto"/>
                  </w:divBdr>
                </w:div>
                <w:div w:id="2006938164">
                  <w:marLeft w:val="0"/>
                  <w:marRight w:val="0"/>
                  <w:marTop w:val="0"/>
                  <w:marBottom w:val="0"/>
                  <w:divBdr>
                    <w:top w:val="none" w:sz="0" w:space="0" w:color="auto"/>
                    <w:left w:val="none" w:sz="0" w:space="0" w:color="auto"/>
                    <w:bottom w:val="none" w:sz="0" w:space="0" w:color="auto"/>
                    <w:right w:val="none" w:sz="0" w:space="0" w:color="auto"/>
                  </w:divBdr>
                </w:div>
                <w:div w:id="1482968136">
                  <w:marLeft w:val="0"/>
                  <w:marRight w:val="0"/>
                  <w:marTop w:val="0"/>
                  <w:marBottom w:val="0"/>
                  <w:divBdr>
                    <w:top w:val="none" w:sz="0" w:space="0" w:color="auto"/>
                    <w:left w:val="none" w:sz="0" w:space="0" w:color="auto"/>
                    <w:bottom w:val="none" w:sz="0" w:space="0" w:color="auto"/>
                    <w:right w:val="none" w:sz="0" w:space="0" w:color="auto"/>
                  </w:divBdr>
                </w:div>
                <w:div w:id="371148077">
                  <w:marLeft w:val="0"/>
                  <w:marRight w:val="0"/>
                  <w:marTop w:val="0"/>
                  <w:marBottom w:val="0"/>
                  <w:divBdr>
                    <w:top w:val="none" w:sz="0" w:space="0" w:color="auto"/>
                    <w:left w:val="none" w:sz="0" w:space="0" w:color="auto"/>
                    <w:bottom w:val="none" w:sz="0" w:space="0" w:color="auto"/>
                    <w:right w:val="none" w:sz="0" w:space="0" w:color="auto"/>
                  </w:divBdr>
                </w:div>
                <w:div w:id="2074695542">
                  <w:marLeft w:val="0"/>
                  <w:marRight w:val="0"/>
                  <w:marTop w:val="0"/>
                  <w:marBottom w:val="0"/>
                  <w:divBdr>
                    <w:top w:val="none" w:sz="0" w:space="0" w:color="auto"/>
                    <w:left w:val="none" w:sz="0" w:space="0" w:color="auto"/>
                    <w:bottom w:val="none" w:sz="0" w:space="0" w:color="auto"/>
                    <w:right w:val="none" w:sz="0" w:space="0" w:color="auto"/>
                  </w:divBdr>
                </w:div>
                <w:div w:id="1502819943">
                  <w:marLeft w:val="0"/>
                  <w:marRight w:val="0"/>
                  <w:marTop w:val="0"/>
                  <w:marBottom w:val="0"/>
                  <w:divBdr>
                    <w:top w:val="none" w:sz="0" w:space="0" w:color="auto"/>
                    <w:left w:val="none" w:sz="0" w:space="0" w:color="auto"/>
                    <w:bottom w:val="none" w:sz="0" w:space="0" w:color="auto"/>
                    <w:right w:val="none" w:sz="0" w:space="0" w:color="auto"/>
                  </w:divBdr>
                </w:div>
                <w:div w:id="402920781">
                  <w:marLeft w:val="0"/>
                  <w:marRight w:val="0"/>
                  <w:marTop w:val="0"/>
                  <w:marBottom w:val="0"/>
                  <w:divBdr>
                    <w:top w:val="none" w:sz="0" w:space="0" w:color="auto"/>
                    <w:left w:val="none" w:sz="0" w:space="0" w:color="auto"/>
                    <w:bottom w:val="none" w:sz="0" w:space="0" w:color="auto"/>
                    <w:right w:val="none" w:sz="0" w:space="0" w:color="auto"/>
                  </w:divBdr>
                </w:div>
                <w:div w:id="1123041105">
                  <w:marLeft w:val="0"/>
                  <w:marRight w:val="0"/>
                  <w:marTop w:val="0"/>
                  <w:marBottom w:val="0"/>
                  <w:divBdr>
                    <w:top w:val="none" w:sz="0" w:space="0" w:color="auto"/>
                    <w:left w:val="none" w:sz="0" w:space="0" w:color="auto"/>
                    <w:bottom w:val="none" w:sz="0" w:space="0" w:color="auto"/>
                    <w:right w:val="none" w:sz="0" w:space="0" w:color="auto"/>
                  </w:divBdr>
                </w:div>
                <w:div w:id="465852373">
                  <w:marLeft w:val="0"/>
                  <w:marRight w:val="0"/>
                  <w:marTop w:val="0"/>
                  <w:marBottom w:val="0"/>
                  <w:divBdr>
                    <w:top w:val="none" w:sz="0" w:space="0" w:color="auto"/>
                    <w:left w:val="none" w:sz="0" w:space="0" w:color="auto"/>
                    <w:bottom w:val="none" w:sz="0" w:space="0" w:color="auto"/>
                    <w:right w:val="none" w:sz="0" w:space="0" w:color="auto"/>
                  </w:divBdr>
                </w:div>
                <w:div w:id="633020558">
                  <w:marLeft w:val="0"/>
                  <w:marRight w:val="0"/>
                  <w:marTop w:val="0"/>
                  <w:marBottom w:val="0"/>
                  <w:divBdr>
                    <w:top w:val="none" w:sz="0" w:space="0" w:color="auto"/>
                    <w:left w:val="none" w:sz="0" w:space="0" w:color="auto"/>
                    <w:bottom w:val="none" w:sz="0" w:space="0" w:color="auto"/>
                    <w:right w:val="none" w:sz="0" w:space="0" w:color="auto"/>
                  </w:divBdr>
                </w:div>
                <w:div w:id="132064709">
                  <w:marLeft w:val="0"/>
                  <w:marRight w:val="0"/>
                  <w:marTop w:val="0"/>
                  <w:marBottom w:val="0"/>
                  <w:divBdr>
                    <w:top w:val="none" w:sz="0" w:space="0" w:color="auto"/>
                    <w:left w:val="none" w:sz="0" w:space="0" w:color="auto"/>
                    <w:bottom w:val="none" w:sz="0" w:space="0" w:color="auto"/>
                    <w:right w:val="none" w:sz="0" w:space="0" w:color="auto"/>
                  </w:divBdr>
                </w:div>
              </w:divsChild>
            </w:div>
            <w:div w:id="1176648610">
              <w:marLeft w:val="0"/>
              <w:marRight w:val="0"/>
              <w:marTop w:val="0"/>
              <w:marBottom w:val="0"/>
              <w:divBdr>
                <w:top w:val="none" w:sz="0" w:space="0" w:color="auto"/>
                <w:left w:val="none" w:sz="0" w:space="0" w:color="auto"/>
                <w:bottom w:val="none" w:sz="0" w:space="0" w:color="auto"/>
                <w:right w:val="none" w:sz="0" w:space="0" w:color="auto"/>
              </w:divBdr>
            </w:div>
            <w:div w:id="1261063696">
              <w:marLeft w:val="0"/>
              <w:marRight w:val="0"/>
              <w:marTop w:val="0"/>
              <w:marBottom w:val="0"/>
              <w:divBdr>
                <w:top w:val="none" w:sz="0" w:space="0" w:color="auto"/>
                <w:left w:val="none" w:sz="0" w:space="0" w:color="auto"/>
                <w:bottom w:val="none" w:sz="0" w:space="0" w:color="auto"/>
                <w:right w:val="none" w:sz="0" w:space="0" w:color="auto"/>
              </w:divBdr>
            </w:div>
            <w:div w:id="154829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40700">
      <w:bodyDiv w:val="1"/>
      <w:marLeft w:val="0"/>
      <w:marRight w:val="0"/>
      <w:marTop w:val="0"/>
      <w:marBottom w:val="0"/>
      <w:divBdr>
        <w:top w:val="none" w:sz="0" w:space="0" w:color="auto"/>
        <w:left w:val="none" w:sz="0" w:space="0" w:color="auto"/>
        <w:bottom w:val="none" w:sz="0" w:space="0" w:color="auto"/>
        <w:right w:val="none" w:sz="0" w:space="0" w:color="auto"/>
      </w:divBdr>
      <w:divsChild>
        <w:div w:id="810635261">
          <w:marLeft w:val="0"/>
          <w:marRight w:val="0"/>
          <w:marTop w:val="0"/>
          <w:marBottom w:val="0"/>
          <w:divBdr>
            <w:top w:val="none" w:sz="0" w:space="0" w:color="auto"/>
            <w:left w:val="none" w:sz="0" w:space="0" w:color="auto"/>
            <w:bottom w:val="none" w:sz="0" w:space="0" w:color="auto"/>
            <w:right w:val="none" w:sz="0" w:space="0" w:color="auto"/>
          </w:divBdr>
          <w:divsChild>
            <w:div w:id="742991279">
              <w:marLeft w:val="0"/>
              <w:marRight w:val="0"/>
              <w:marTop w:val="0"/>
              <w:marBottom w:val="0"/>
              <w:divBdr>
                <w:top w:val="none" w:sz="0" w:space="0" w:color="auto"/>
                <w:left w:val="none" w:sz="0" w:space="0" w:color="auto"/>
                <w:bottom w:val="none" w:sz="0" w:space="0" w:color="auto"/>
                <w:right w:val="none" w:sz="0" w:space="0" w:color="auto"/>
              </w:divBdr>
            </w:div>
          </w:divsChild>
        </w:div>
        <w:div w:id="1143695629">
          <w:marLeft w:val="0"/>
          <w:marRight w:val="0"/>
          <w:marTop w:val="225"/>
          <w:marBottom w:val="225"/>
          <w:divBdr>
            <w:top w:val="none" w:sz="0" w:space="0" w:color="auto"/>
            <w:left w:val="none" w:sz="0" w:space="0" w:color="auto"/>
            <w:bottom w:val="none" w:sz="0" w:space="0" w:color="auto"/>
            <w:right w:val="none" w:sz="0" w:space="0" w:color="auto"/>
          </w:divBdr>
          <w:divsChild>
            <w:div w:id="96111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678</Words>
  <Characters>4001</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Milan Krabec</cp:lastModifiedBy>
  <cp:revision>5</cp:revision>
  <dcterms:created xsi:type="dcterms:W3CDTF">2021-05-27T09:59:00Z</dcterms:created>
  <dcterms:modified xsi:type="dcterms:W3CDTF">2021-05-27T13:00:00Z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